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100" w:before="0"/>
      </w:pPr>
      <w:r>
        <w:drawing>
          <wp:inline distT="0" distB="0" distL="0" distR="0">
            <wp:extent cx="6191250" cy="18192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0" cy="1819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/>
        <w:spacing w:after="20" w:before="0" w:line="264" w:lineRule="auto"/>
      </w:pPr>
      <w:r>
        <w:rPr>
          <w:rFonts w:ascii="Calibri" w:cs="Calibri" w:eastAsia="Calibri" w:hAnsi="Calibri"/>
          <w:b/>
          <w:bCs/>
          <w:color w:val="C8902E"/>
          <w:spacing w:val="40"/>
          <w:sz w:val="18"/>
          <w:szCs w:val="18"/>
        </w:rPr>
        <w:t xml:space="preserve">MARROCOS</w:t>
      </w:r>
    </w:p>
    <w:p>
      <w:pPr>
        <w:pStyle w:val="Heading1"/>
        <w:keepNext/>
        <w:spacing w:after="40"/>
      </w:pPr>
      <w:r>
        <w:rPr>
          <w:rFonts w:ascii="Georgia" w:cs="Georgia" w:eastAsia="Georgia" w:hAnsi="Georgia"/>
          <w:b/>
          <w:bCs/>
          <w:color w:val="3B2416"/>
          <w:sz w:val="38"/>
          <w:szCs w:val="38"/>
        </w:rPr>
        <w:t xml:space="preserve">Cidades Imperiais III desde Marrakesh</w:t>
      </w:r>
    </w:p>
    <w:p>
      <w:pPr>
        <w:keepNext/>
        <w:spacing w:after="120" w:before="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8 dias  •  7 noites  •  Saídas aos sábados selecionados</w:t>
      </w:r>
    </w:p>
    <w:tbl>
      <w:tblPr>
        <w:tblW w:type="dxa" w:w="974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</w:tblPr>
      <w:tblGrid>
        <w:gridCol w:w="6346"/>
        <w:gridCol w:w="3400"/>
      </w:tblGrid>
      <w:tr>
        <w:trPr>
          <w:cantSplit/>
        </w:trPr>
        <w:tc>
          <w:tcPr>
            <w:tcW w:type="dxa" w:w="6346"/>
            <w:shd w:fill="F6EBDD" w:color="auto" w:val="clear"/>
            <w:tcMar>
              <w:top w:type="dxa" w:w="140"/>
              <w:left w:type="dxa" w:w="120"/>
              <w:bottom w:type="dxa" w:w="140"/>
              <w:right w:type="dxa" w:w="120"/>
            </w:tcMar>
          </w:tcPr>
          <w:p>
            <w:pPr>
              <w:spacing w:after="4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A0471F"/>
                <w:spacing w:val="20"/>
                <w:sz w:val="18"/>
                <w:szCs w:val="18"/>
              </w:rPr>
              <w:t xml:space="preserve">SAÍDAS EM 2027</w:t>
            </w:r>
          </w:p>
          <w:p>
            <w:pPr>
              <w:spacing w:after="30" w:before="0" w:line="264" w:lineRule="auto"/>
            </w:pPr>
            <w:r>
              <w:rPr>
                <w:rFonts w:ascii="Calibri" w:cs="Calibri" w:eastAsia="Calibri" w:hAnsi="Calibri"/>
                <w:color w:val="C8902E"/>
                <w:sz w:val="19"/>
                <w:szCs w:val="19"/>
              </w:rPr>
              <w:t xml:space="preserve">▸ </w:t>
            </w:r>
            <w:r>
              <w:rPr>
                <w:rFonts w:ascii="Calibri" w:cs="Calibri" w:eastAsia="Calibri" w:hAnsi="Calibri"/>
                <w:b/>
                <w:bCs/>
                <w:color w:val="3B2416"/>
                <w:sz w:val="20"/>
                <w:szCs w:val="20"/>
              </w:rPr>
              <w:t xml:space="preserve">Sábados selecionados de 2027, até 30 de outubro de 2027</w:t>
            </w:r>
          </w:p>
          <w:p>
            <w:pPr>
              <w:spacing w:after="0" w:before="40" w:line="264" w:lineRule="auto"/>
            </w:pPr>
            <w:r>
              <w:rPr>
                <w:rFonts w:ascii="Calibri" w:cs="Calibri" w:eastAsia="Calibri" w:hAnsi="Calibri"/>
                <w:i/>
                <w:iCs/>
                <w:color w:val="6B5A4A"/>
                <w:sz w:val="17"/>
                <w:szCs w:val="17"/>
              </w:rPr>
              <w:t xml:space="preserve">Mínimo de 4 passageiros para confirmar a saída.</w:t>
            </w:r>
          </w:p>
        </w:tc>
        <w:tc>
          <w:tcPr>
            <w:tcW w:type="dxa" w:w="3400"/>
            <w:shd w:fill="A0471F" w:color="auto" w:val="clear"/>
            <w:tcMar>
              <w:top w:type="dxa" w:w="160"/>
              <w:left w:type="dxa" w:w="120"/>
              <w:bottom w:type="dxa" w:w="160"/>
              <w:right w:type="dxa" w:w="120"/>
            </w:tcMar>
          </w:tcPr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pacing w:val="20"/>
                <w:sz w:val="18"/>
                <w:szCs w:val="18"/>
              </w:rPr>
              <w:t xml:space="preserve">VALORES</w:t>
            </w:r>
          </w:p>
          <w:p>
            <w:pPr>
              <w:spacing w:after="40" w:before="0" w:line="264" w:lineRule="auto"/>
              <w:jc w:val="center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30"/>
                <w:szCs w:val="30"/>
              </w:rPr>
              <w:t xml:space="preserve">A consultar</w:t>
            </w:r>
          </w:p>
          <w:p>
            <w:pPr>
              <w:spacing w:after="0" w:before="0" w:line="264" w:lineRule="auto"/>
              <w:jc w:val="center"/>
            </w:pPr>
            <w:r>
              <w:rPr>
                <w:rFonts w:ascii="Calibri" w:cs="Calibri" w:eastAsia="Calibri" w:hAnsi="Calibri"/>
                <w:color w:val="F6EBDD"/>
                <w:sz w:val="15"/>
                <w:szCs w:val="15"/>
              </w:rPr>
              <w:t xml:space="preserve">Preços sujeitos a alteração e reservas sujeitas a disponibilidade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O PACOTE INCLUI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4 noites em Marrakesh, 1 em Rabat e 2 em Fez, com meia pensão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Traslados e passeios mencionados no roteiro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Guia em português ou espanhol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Ingressos para monumentos e carregadores de bagagem</w:t>
      </w:r>
    </w:p>
    <w:p>
      <w:pPr>
        <w:pStyle w:val="ListParagraph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Gorjetas nos hotéis, impostos e serviços de hotel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HOTÉIS PREVISTOS</w:t>
      </w:r>
    </w:p>
    <w:tbl>
      <w:tblPr>
        <w:tblW w:type="dxa" w:w="974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3773"/>
        <w:gridCol w:w="3773"/>
      </w:tblGrid>
      <w:tr>
        <w:trPr>
          <w:tblHeader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Cidade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Categoria 4 estrelas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A0471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FFFFFF"/>
                <w:sz w:val="18"/>
                <w:szCs w:val="18"/>
              </w:rPr>
              <w:t xml:space="preserve">Categoria 5 estrelas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Marrakesh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Adam Park &amp; Spa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Kenzi Rose Garden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Rabat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Executive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La Tour Hassan ou similar</w:t>
            </w:r>
          </w:p>
        </w:tc>
      </w:tr>
      <w:tr>
        <w:trPr>
          <w:cantSplit/>
        </w:trPr>
        <w:tc>
          <w:tcPr>
            <w:tcW w:type="dxa" w:w="2200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b/>
                <w:bCs/>
                <w:color w:val="2B2B2B"/>
                <w:sz w:val="18"/>
                <w:szCs w:val="18"/>
              </w:rPr>
              <w:t xml:space="preserve">Fez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Atlas Saiss Fes ou similar</w:t>
            </w:r>
          </w:p>
        </w:tc>
        <w:tc>
          <w:tcPr>
            <w:tcW w:type="dxa" w:w="3773"/>
            <w:tcBorders>
              <w:top w:val="single" w:color="EAD6BC" w:sz="4"/>
              <w:left w:val="single" w:color="EAD6BC" w:sz="4"/>
              <w:bottom w:val="single" w:color="EAD6BC" w:sz="4"/>
              <w:right w:val="single" w:color="EAD6BC" w:sz="4"/>
            </w:tcBorders>
            <w:shd w:fill="F6EBDD" w:color="auto" w:val="clear"/>
            <w:tcMar>
              <w:top w:type="dxa" w:w="60"/>
              <w:left w:type="dxa" w:w="120"/>
              <w:bottom w:type="dxa" w:w="60"/>
              <w:right w:type="dxa" w:w="120"/>
            </w:tcMar>
          </w:tcPr>
          <w:p>
            <w:pPr>
              <w:spacing w:after="0" w:before="0" w:line="264" w:lineRule="auto"/>
            </w:pPr>
            <w:r>
              <w:rPr>
                <w:rFonts w:ascii="Calibri" w:cs="Calibri" w:eastAsia="Calibri" w:hAnsi="Calibri"/>
                <w:color w:val="2B2B2B"/>
                <w:sz w:val="18"/>
                <w:szCs w:val="18"/>
              </w:rPr>
              <w:t xml:space="preserve">Palais Medina &amp; Spa ou similar</w:t>
            </w:r>
          </w:p>
        </w:tc>
      </w:tr>
    </w:tbl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ROTEIRO DIA A DIA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1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Chegada a Marrakesh. Traslado ao hotel e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2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 – CASABLANCA – RABAT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traslado para Casablanca para se juntar ao grupo na visita à cidade: Praça Mohamed V, Praça das Nações Unidas, mercado central, bairro de Habbous, exterior da grande Mesquita Hassan II e zona residencial de Anfa, com passeio pela costa de Aïn Diab. Almoço por conta própria. Partida para Rabat e visita à capital administrativa, com a Torre Hassan, o Mausoléu Mohamed V, a Kasbah dos Oudayas e a Medina. Chegada ao hotel e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3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RABAT – MEKNÈS – 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partida com visita às ruínas romanas de Volubilis e à cidade sagrada de Moulay Idriss. Continuação para Meknès. Almoço por conta própria e visita à "Versalhes marroquina", fundada no fim do século XVII por Moulay Ismail, incluindo Bab Mansour e a antiga Medina. Chegada a Fez e jantar no hotel.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4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inteiro dedicado a Fez, a cidade mais antiga, cultural e espiritual do Marrocos: Medina medieval, medersas, mesquita Karaouine e a famosa fonte Nejjarine. Almoço por conta própria e continuação pela antiga Medina, com artesãos que ainda trabalham na tradição oriental. Retorno ao hotel e jantar.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5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FEZ – BENI MELLAL – 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partida para Marrakesh, atravessando o Médio Atlas e passando por Immouzer du Kandar e Ifrane, charmosa estação de esqui cercada por uma floresta de cedros. Parada em Beni Mellal. Almoço por conta própria e continuação até Marrakesh, entre a terra vermelha, o céu azul e o verde das palmeiras. Jantar no hotel.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6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inteiro dedicado a Marrakesh, a "Pérola do Sul": Museu Dar Si Said, Koutoubia, Palácio da Bahia e Jardins Menara. Retorno ao hotel para o almoço. À tarde, visita aos souks, às vielas sinuosas e à Praça Djemaâ El Fna, com contadores de histórias, encantadores de serpentes e cuspidores de fogo. Opcional: jantar Diffa Fantasia sob tendas caidais no restaurante "Chez Ali".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7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manhã. Dia livre para atividades pessoais, explorar Marrakesh, fazer excursões opcionais ou relaxar na piscina do hotel. Almoço por conta própria. Jantar no hotel.</w:t>
      </w:r>
    </w:p>
    <w:p>
      <w:pPr>
        <w:keepNext/>
        <w:spacing w:after="20" w:before="60" w:line="264" w:lineRule="auto"/>
      </w:pPr>
      <w:r>
        <w:rPr>
          <w:rFonts w:ascii="Calibri" w:cs="Calibri" w:eastAsia="Calibri" w:hAnsi="Calibri"/>
          <w:b/>
          <w:bCs/>
          <w:color w:val="A0471F"/>
          <w:sz w:val="19"/>
          <w:szCs w:val="19"/>
        </w:rPr>
        <w:t xml:space="preserve">DIA 8  </w:t>
      </w:r>
      <w:r>
        <w:rPr>
          <w:rFonts w:ascii="Calibri" w:cs="Calibri" w:eastAsia="Calibri" w:hAnsi="Calibri"/>
          <w:b/>
          <w:bCs/>
          <w:color w:val="3B2416"/>
          <w:sz w:val="19"/>
          <w:szCs w:val="19"/>
        </w:rPr>
        <w:t xml:space="preserve">MARRAKESH</w:t>
      </w:r>
    </w:p>
    <w:p>
      <w:pPr>
        <w:spacing w:after="50" w:before="0" w:line="264" w:lineRule="auto"/>
        <w:jc w:val="both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Café da manhã e traslado ao aeroporto.</w:t>
      </w:r>
    </w:p>
    <w:p>
      <w:pPr>
        <w:keepNext/>
        <w:pBdr>
          <w:bottom w:val="single" w:color="C8902E" w:sz="6" w:space="2"/>
        </w:pBdr>
        <w:spacing w:after="60" w:before="140" w:line="264" w:lineRule="auto"/>
      </w:pPr>
      <w:r>
        <w:rPr>
          <w:rFonts w:ascii="Calibri" w:cs="Calibri" w:eastAsia="Calibri" w:hAnsi="Calibri"/>
          <w:b/>
          <w:bCs/>
          <w:color w:val="A0471F"/>
          <w:spacing w:val="20"/>
          <w:sz w:val="20"/>
          <w:szCs w:val="20"/>
        </w:rPr>
        <w:t xml:space="preserve">NÃO INCLUI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Passagens aéreas e taxas de embarque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Possíveis taxas de turismo a serem pagas localmente</w:t>
      </w:r>
    </w:p>
    <w:p>
      <w:pPr>
        <w:pStyle w:val="ListParagraph"/>
        <w:keepNext w:val="false"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Passeios opcionais e/ou sugeridos</w:t>
      </w:r>
    </w:p>
    <w:p>
      <w:pPr>
        <w:pStyle w:val="ListParagraph"/>
        <w:keepNext/>
        <w:numPr>
          <w:ilvl w:val="0"/>
          <w:numId w:val="2"/>
        </w:numPr>
        <w:spacing w:after="30" w:line="252"/>
      </w:pPr>
      <w:r>
        <w:rPr>
          <w:rFonts w:ascii="Calibri" w:cs="Calibri" w:eastAsia="Calibri" w:hAnsi="Calibri"/>
          <w:color w:val="2B2B2B"/>
          <w:sz w:val="19"/>
          <w:szCs w:val="19"/>
        </w:rPr>
        <w:t xml:space="preserve">Despesas pessoais (documentação, gratificações, excesso de bagagem, telefonemas, lavanderia, refeições e bebidas adicionais) e tudo o que não estiver explicitamente mencionado como incluso</w:t>
      </w:r>
    </w:p>
    <w:p>
      <w:pPr>
        <w:spacing w:after="0" w:before="60" w:line="264" w:lineRule="auto"/>
      </w:pPr>
      <w:r>
        <w:rPr>
          <w:rFonts w:ascii="Calibri" w:cs="Calibri" w:eastAsia="Calibri" w:hAnsi="Calibri"/>
          <w:i/>
          <w:iCs/>
          <w:color w:val="6B5A4A"/>
          <w:sz w:val="17"/>
          <w:szCs w:val="17"/>
        </w:rPr>
        <w:t xml:space="preserve">Recomendamos a contratação de seguro de assistência em viagem e chip com plano de dados para o smartphone.</w:t>
      </w:r>
    </w:p>
    <w:sectPr>
      <w:footerReference w:type="default" r:id="rId7"/>
      <w:pgSz w:w="11906" w:h="16838" w:orient="portrait"/>
      <w:pgMar w:top="900" w:right="1080" w:bottom="90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A8A7A"/>
        <w:sz w:val="15"/>
        <w:szCs w:val="15"/>
      </w:rPr>
      <w:t xml:space="preserve">Cidades Imperiais III desde Marrakesh • 2027  •  </w:t>
    </w:r>
    <w:r>
      <w:rPr>
        <w:rFonts w:ascii="Calibri" w:cs="Calibri" w:eastAsia="Calibri" w:hAnsi="Calibri"/>
        <w:color w:val="9A8A7A"/>
        <w:sz w:val="15"/>
        <w:szCs w:val="15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360" w:hanging="220"/>
      </w:pPr>
      <w:rPr>
        <w:color w:val="C8902E"/>
      </w:r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Georgia" w:cs="Georgia" w:eastAsia="Georgia" w:hAnsi="Georgia"/>
      <w:b/>
      <w:bCs/>
      <w:color w:val="3B2416"/>
      <w:sz w:val="38"/>
      <w:szCs w:val="38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fc7b526b7fca13b96969fe8d124150b9613c1ff7.jp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2026-10-16T15:21:35.435Z</dcterms:created>
  <dcterms:modified xsi:type="dcterms:W3CDTF">2026-10-16T15:21:35.435Z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