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before="0"/>
      </w:pPr>
      <w:r>
        <w:drawing>
          <wp:inline distT="0" distB="0" distL="0" distR="0">
            <wp:extent cx="6191250" cy="181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191250" cy="1819275"/>
                    </a:xfrm>
                    <a:prstGeom prst="rect">
                      <a:avLst/>
                    </a:prstGeom>
                  </pic:spPr>
                </pic:pic>
              </a:graphicData>
            </a:graphic>
          </wp:inline>
        </w:drawing>
      </w:r>
    </w:p>
    <w:p>
      <w:pPr>
        <w:keepNext/>
        <w:spacing w:after="20" w:before="0" w:line="264" w:lineRule="auto"/>
      </w:pPr>
      <w:r>
        <w:rPr>
          <w:rFonts w:ascii="Calibri" w:cs="Calibri" w:eastAsia="Calibri" w:hAnsi="Calibri"/>
          <w:b/>
          <w:bCs/>
          <w:color w:val="C8902E"/>
          <w:spacing w:val="40"/>
          <w:sz w:val="18"/>
          <w:szCs w:val="18"/>
        </w:rPr>
        <w:t xml:space="preserve">MARROCOS</w:t>
      </w:r>
    </w:p>
    <w:p>
      <w:pPr>
        <w:pStyle w:val="Heading1"/>
        <w:keepNext/>
        <w:spacing w:after="40"/>
      </w:pPr>
      <w:r>
        <w:rPr>
          <w:rFonts w:ascii="Georgia" w:cs="Georgia" w:eastAsia="Georgia" w:hAnsi="Georgia"/>
          <w:b/>
          <w:bCs/>
          <w:color w:val="3B2416"/>
          <w:sz w:val="38"/>
          <w:szCs w:val="38"/>
        </w:rPr>
        <w:t xml:space="preserve">Oásis, Dunas e Deserto de Minivan</w:t>
      </w:r>
    </w:p>
    <w:p>
      <w:pPr>
        <w:keepNext/>
        <w:spacing w:after="120" w:before="0" w:line="264" w:lineRule="auto"/>
      </w:pPr>
      <w:r>
        <w:rPr>
          <w:rFonts w:ascii="Calibri" w:cs="Calibri" w:eastAsia="Calibri" w:hAnsi="Calibri"/>
          <w:b/>
          <w:bCs/>
          <w:color w:val="A0471F"/>
          <w:sz w:val="19"/>
          <w:szCs w:val="19"/>
        </w:rPr>
        <w:t xml:space="preserve">8 dias  •  7 noites  •  Saídas aos sábados selecionados</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346"/>
        <w:gridCol w:w="3400"/>
      </w:tblGrid>
      <w:tr>
        <w:trPr>
          <w:cantSplit/>
        </w:trPr>
        <w:tc>
          <w:tcPr>
            <w:tcW w:type="dxa" w:w="6346"/>
            <w:shd w:fill="F6EBDD" w:color="auto" w:val="clear"/>
            <w:tcMar>
              <w:top w:type="dxa" w:w="140"/>
              <w:left w:type="dxa" w:w="120"/>
              <w:bottom w:type="dxa" w:w="140"/>
              <w:right w:type="dxa" w:w="120"/>
            </w:tcMar>
          </w:tcPr>
          <w:p>
            <w:pPr>
              <w:spacing w:after="40" w:before="0" w:line="264" w:lineRule="auto"/>
            </w:pPr>
            <w:r>
              <w:rPr>
                <w:rFonts w:ascii="Calibri" w:cs="Calibri" w:eastAsia="Calibri" w:hAnsi="Calibri"/>
                <w:b/>
                <w:bCs/>
                <w:color w:val="A0471F"/>
                <w:spacing w:val="20"/>
                <w:sz w:val="18"/>
                <w:szCs w:val="18"/>
              </w:rPr>
              <w:t xml:space="preserve">SAÍDAS EM 2027</w:t>
            </w:r>
          </w:p>
          <w:p>
            <w:pPr>
              <w:spacing w:after="30" w:before="0" w:line="264" w:lineRule="auto"/>
            </w:pPr>
            <w:r>
              <w:rPr>
                <w:rFonts w:ascii="Calibri" w:cs="Calibri" w:eastAsia="Calibri" w:hAnsi="Calibri"/>
                <w:color w:val="C8902E"/>
                <w:sz w:val="19"/>
                <w:szCs w:val="19"/>
              </w:rPr>
              <w:t xml:space="preserve">▸ </w:t>
            </w:r>
            <w:r>
              <w:rPr>
                <w:rFonts w:ascii="Calibri" w:cs="Calibri" w:eastAsia="Calibri" w:hAnsi="Calibri"/>
                <w:b/>
                <w:bCs/>
                <w:color w:val="3B2416"/>
                <w:sz w:val="20"/>
                <w:szCs w:val="20"/>
              </w:rPr>
              <w:t xml:space="preserve">Sábados selecionados de 2027, até 30 de outubro de 2027</w:t>
            </w:r>
          </w:p>
          <w:p>
            <w:pPr>
              <w:spacing w:after="0" w:before="40" w:line="264" w:lineRule="auto"/>
            </w:pPr>
            <w:r>
              <w:rPr>
                <w:rFonts w:ascii="Calibri" w:cs="Calibri" w:eastAsia="Calibri" w:hAnsi="Calibri"/>
                <w:i/>
                <w:iCs/>
                <w:color w:val="6B5A4A"/>
                <w:sz w:val="17"/>
                <w:szCs w:val="17"/>
              </w:rPr>
              <w:t xml:space="preserve">Mínimo de 4 passageiros para confirmar a saída.</w:t>
            </w:r>
          </w:p>
        </w:tc>
        <w:tc>
          <w:tcPr>
            <w:tcW w:type="dxa" w:w="3400"/>
            <w:shd w:fill="A0471F" w:color="auto" w:val="clear"/>
            <w:tcMar>
              <w:top w:type="dxa" w:w="160"/>
              <w:left w:type="dxa" w:w="120"/>
              <w:bottom w:type="dxa" w:w="160"/>
              <w:right w:type="dxa" w:w="120"/>
            </w:tcMar>
          </w:tcPr>
          <w:p>
            <w:pPr>
              <w:spacing w:after="40" w:before="0" w:line="264" w:lineRule="auto"/>
              <w:jc w:val="center"/>
            </w:pPr>
            <w:r>
              <w:rPr>
                <w:rFonts w:ascii="Calibri" w:cs="Calibri" w:eastAsia="Calibri" w:hAnsi="Calibri"/>
                <w:b/>
                <w:bCs/>
                <w:color w:val="FFFFFF"/>
                <w:spacing w:val="20"/>
                <w:sz w:val="18"/>
                <w:szCs w:val="18"/>
              </w:rPr>
              <w:t xml:space="preserve">VALORES</w:t>
            </w:r>
          </w:p>
          <w:p>
            <w:pPr>
              <w:spacing w:after="40" w:before="0" w:line="264" w:lineRule="auto"/>
              <w:jc w:val="center"/>
            </w:pPr>
            <w:r>
              <w:rPr>
                <w:rFonts w:ascii="Calibri" w:cs="Calibri" w:eastAsia="Calibri" w:hAnsi="Calibri"/>
                <w:b/>
                <w:bCs/>
                <w:color w:val="FFFFFF"/>
                <w:sz w:val="30"/>
                <w:szCs w:val="30"/>
              </w:rPr>
              <w:t xml:space="preserve">A consultar</w:t>
            </w:r>
          </w:p>
          <w:p>
            <w:pPr>
              <w:spacing w:after="0" w:before="0" w:line="264" w:lineRule="auto"/>
              <w:jc w:val="center"/>
            </w:pPr>
            <w:r>
              <w:rPr>
                <w:rFonts w:ascii="Calibri" w:cs="Calibri" w:eastAsia="Calibri" w:hAnsi="Calibri"/>
                <w:color w:val="F6EBDD"/>
                <w:sz w:val="15"/>
                <w:szCs w:val="15"/>
              </w:rPr>
              <w:t xml:space="preserve">Preços sujeitos a alteração e reservas sujeitas a disponibilidade</w:t>
            </w:r>
          </w:p>
        </w:tc>
      </w:tr>
    </w:tbl>
    <w:p>
      <w:pPr>
        <w:keepNext/>
        <w:pBdr>
          <w:bottom w:val="single" w:color="C8902E" w:sz="6" w:space="2"/>
        </w:pBdr>
        <w:spacing w:after="60" w:before="140" w:line="264" w:lineRule="auto"/>
      </w:pPr>
      <w:r>
        <w:rPr>
          <w:rFonts w:ascii="Calibri" w:cs="Calibri" w:eastAsia="Calibri" w:hAnsi="Calibri"/>
          <w:b/>
          <w:bCs/>
          <w:color w:val="A0471F"/>
          <w:spacing w:val="20"/>
          <w:sz w:val="20"/>
          <w:szCs w:val="20"/>
        </w:rPr>
        <w:t xml:space="preserve">O PACOTE INCLUI</w:t>
      </w:r>
    </w:p>
    <w:p>
      <w:pPr>
        <w:pStyle w:val="ListParagraph"/>
        <w:numPr>
          <w:ilvl w:val="0"/>
          <w:numId w:val="2"/>
        </w:numPr>
        <w:spacing w:after="30" w:line="252"/>
      </w:pPr>
      <w:r>
        <w:rPr>
          <w:rFonts w:ascii="Calibri" w:cs="Calibri" w:eastAsia="Calibri" w:hAnsi="Calibri"/>
          <w:color w:val="2B2B2B"/>
          <w:sz w:val="19"/>
          <w:szCs w:val="19"/>
        </w:rPr>
        <w:t xml:space="preserve">4 noites em Marrakesh, 1 em Boumalne, 1 em Erfoud e 1 em Zagora, com meia pensão</w:t>
      </w:r>
    </w:p>
    <w:p>
      <w:pPr>
        <w:pStyle w:val="ListParagraph"/>
        <w:numPr>
          <w:ilvl w:val="0"/>
          <w:numId w:val="2"/>
        </w:numPr>
        <w:spacing w:after="30" w:line="252"/>
      </w:pPr>
      <w:r>
        <w:rPr>
          <w:rFonts w:ascii="Calibri" w:cs="Calibri" w:eastAsia="Calibri" w:hAnsi="Calibri"/>
          <w:color w:val="2B2B2B"/>
          <w:sz w:val="19"/>
          <w:szCs w:val="19"/>
        </w:rPr>
        <w:t xml:space="preserve">Traslados e passeios mencionados no roteiro</w:t>
      </w:r>
    </w:p>
    <w:p>
      <w:pPr>
        <w:pStyle w:val="ListParagraph"/>
        <w:numPr>
          <w:ilvl w:val="0"/>
          <w:numId w:val="2"/>
        </w:numPr>
        <w:spacing w:after="30" w:line="252"/>
      </w:pPr>
      <w:r>
        <w:rPr>
          <w:rFonts w:ascii="Calibri" w:cs="Calibri" w:eastAsia="Calibri" w:hAnsi="Calibri"/>
          <w:color w:val="2B2B2B"/>
          <w:sz w:val="19"/>
          <w:szCs w:val="19"/>
        </w:rPr>
        <w:t xml:space="preserve">Guia em português ou espanhol</w:t>
      </w:r>
    </w:p>
    <w:p>
      <w:pPr>
        <w:pStyle w:val="ListParagraph"/>
        <w:numPr>
          <w:ilvl w:val="0"/>
          <w:numId w:val="2"/>
        </w:numPr>
        <w:spacing w:after="30" w:line="252"/>
      </w:pPr>
      <w:r>
        <w:rPr>
          <w:rFonts w:ascii="Calibri" w:cs="Calibri" w:eastAsia="Calibri" w:hAnsi="Calibri"/>
          <w:color w:val="2B2B2B"/>
          <w:sz w:val="19"/>
          <w:szCs w:val="19"/>
        </w:rPr>
        <w:t xml:space="preserve">Ingressos para monumentos e carregadores de bagagem</w:t>
      </w:r>
    </w:p>
    <w:p>
      <w:pPr>
        <w:pStyle w:val="ListParagraph"/>
        <w:numPr>
          <w:ilvl w:val="0"/>
          <w:numId w:val="2"/>
        </w:numPr>
        <w:spacing w:after="30" w:line="252"/>
      </w:pPr>
      <w:r>
        <w:rPr>
          <w:rFonts w:ascii="Calibri" w:cs="Calibri" w:eastAsia="Calibri" w:hAnsi="Calibri"/>
          <w:color w:val="2B2B2B"/>
          <w:sz w:val="19"/>
          <w:szCs w:val="19"/>
        </w:rPr>
        <w:t xml:space="preserve">Gorjetas nos hotéis, impostos e serviços de hotel</w:t>
      </w:r>
    </w:p>
    <w:p>
      <w:pPr>
        <w:keepNext/>
        <w:pBdr>
          <w:bottom w:val="single" w:color="C8902E" w:sz="6" w:space="2"/>
        </w:pBdr>
        <w:spacing w:after="60" w:before="140" w:line="264" w:lineRule="auto"/>
      </w:pPr>
      <w:r>
        <w:rPr>
          <w:rFonts w:ascii="Calibri" w:cs="Calibri" w:eastAsia="Calibri" w:hAnsi="Calibri"/>
          <w:b/>
          <w:bCs/>
          <w:color w:val="A0471F"/>
          <w:spacing w:val="20"/>
          <w:sz w:val="20"/>
          <w:szCs w:val="20"/>
        </w:rPr>
        <w:t xml:space="preserve">HOTÉIS PREVISTOS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3773"/>
        <w:gridCol w:w="3773"/>
      </w:tblGrid>
      <w:tr>
        <w:trPr>
          <w:tblHeader/>
        </w:trPr>
        <w:tc>
          <w:tcPr>
            <w:tcW w:type="dxa" w:w="2200"/>
            <w:tcBorders>
              <w:top w:val="single" w:color="EAD6BC" w:sz="4"/>
              <w:left w:val="single" w:color="EAD6BC" w:sz="4"/>
              <w:bottom w:val="single" w:color="EAD6BC" w:sz="4"/>
              <w:right w:val="single" w:color="EAD6BC" w:sz="4"/>
            </w:tcBorders>
            <w:shd w:fill="A0471F" w:color="auto" w:val="clear"/>
            <w:tcMar>
              <w:top w:type="dxa" w:w="60"/>
              <w:left w:type="dxa" w:w="120"/>
              <w:bottom w:type="dxa" w:w="60"/>
              <w:right w:type="dxa" w:w="120"/>
            </w:tcMar>
          </w:tcPr>
          <w:p>
            <w:pPr>
              <w:spacing w:after="0" w:before="0" w:line="264" w:lineRule="auto"/>
            </w:pPr>
            <w:r>
              <w:rPr>
                <w:rFonts w:ascii="Calibri" w:cs="Calibri" w:eastAsia="Calibri" w:hAnsi="Calibri"/>
                <w:b/>
                <w:bCs/>
                <w:color w:val="FFFFFF"/>
                <w:sz w:val="18"/>
                <w:szCs w:val="18"/>
              </w:rPr>
              <w:t xml:space="preserve">Cidade</w:t>
            </w:r>
          </w:p>
        </w:tc>
        <w:tc>
          <w:tcPr>
            <w:tcW w:type="dxa" w:w="3773"/>
            <w:tcBorders>
              <w:top w:val="single" w:color="EAD6BC" w:sz="4"/>
              <w:left w:val="single" w:color="EAD6BC" w:sz="4"/>
              <w:bottom w:val="single" w:color="EAD6BC" w:sz="4"/>
              <w:right w:val="single" w:color="EAD6BC" w:sz="4"/>
            </w:tcBorders>
            <w:shd w:fill="A0471F" w:color="auto" w:val="clear"/>
            <w:tcMar>
              <w:top w:type="dxa" w:w="60"/>
              <w:left w:type="dxa" w:w="120"/>
              <w:bottom w:type="dxa" w:w="60"/>
              <w:right w:type="dxa" w:w="120"/>
            </w:tcMar>
          </w:tcPr>
          <w:p>
            <w:pPr>
              <w:spacing w:after="0" w:before="0" w:line="264" w:lineRule="auto"/>
            </w:pPr>
            <w:r>
              <w:rPr>
                <w:rFonts w:ascii="Calibri" w:cs="Calibri" w:eastAsia="Calibri" w:hAnsi="Calibri"/>
                <w:b/>
                <w:bCs/>
                <w:color w:val="FFFFFF"/>
                <w:sz w:val="18"/>
                <w:szCs w:val="18"/>
              </w:rPr>
              <w:t xml:space="preserve">Categoria 4 estrelas</w:t>
            </w:r>
          </w:p>
        </w:tc>
        <w:tc>
          <w:tcPr>
            <w:tcW w:type="dxa" w:w="3773"/>
            <w:tcBorders>
              <w:top w:val="single" w:color="EAD6BC" w:sz="4"/>
              <w:left w:val="single" w:color="EAD6BC" w:sz="4"/>
              <w:bottom w:val="single" w:color="EAD6BC" w:sz="4"/>
              <w:right w:val="single" w:color="EAD6BC" w:sz="4"/>
            </w:tcBorders>
            <w:shd w:fill="A0471F" w:color="auto" w:val="clear"/>
            <w:tcMar>
              <w:top w:type="dxa" w:w="60"/>
              <w:left w:type="dxa" w:w="120"/>
              <w:bottom w:type="dxa" w:w="60"/>
              <w:right w:type="dxa" w:w="120"/>
            </w:tcMar>
          </w:tcPr>
          <w:p>
            <w:pPr>
              <w:spacing w:after="0" w:before="0" w:line="264" w:lineRule="auto"/>
            </w:pPr>
            <w:r>
              <w:rPr>
                <w:rFonts w:ascii="Calibri" w:cs="Calibri" w:eastAsia="Calibri" w:hAnsi="Calibri"/>
                <w:b/>
                <w:bCs/>
                <w:color w:val="FFFFFF"/>
                <w:sz w:val="18"/>
                <w:szCs w:val="18"/>
              </w:rPr>
              <w:t xml:space="preserve">Categoria 5 estrelas</w:t>
            </w:r>
          </w:p>
        </w:tc>
      </w:tr>
      <w:tr>
        <w:trPr>
          <w:cantSplit/>
        </w:trPr>
        <w:tc>
          <w:tcPr>
            <w:tcW w:type="dxa" w:w="2200"/>
            <w:tcBorders>
              <w:top w:val="single" w:color="EAD6BC" w:sz="4"/>
              <w:left w:val="single" w:color="EAD6BC" w:sz="4"/>
              <w:bottom w:val="single" w:color="EAD6BC" w:sz="4"/>
              <w:right w:val="single" w:color="EAD6BC" w:sz="4"/>
            </w:tcBorders>
            <w:shd w:fill="F6EBDD" w:color="auto" w:val="clear"/>
            <w:tcMar>
              <w:top w:type="dxa" w:w="60"/>
              <w:left w:type="dxa" w:w="120"/>
              <w:bottom w:type="dxa" w:w="60"/>
              <w:right w:type="dxa" w:w="120"/>
            </w:tcMar>
          </w:tcPr>
          <w:p>
            <w:pPr>
              <w:spacing w:after="0" w:before="0" w:line="264" w:lineRule="auto"/>
            </w:pPr>
            <w:r>
              <w:rPr>
                <w:rFonts w:ascii="Calibri" w:cs="Calibri" w:eastAsia="Calibri" w:hAnsi="Calibri"/>
                <w:b/>
                <w:bCs/>
                <w:color w:val="2B2B2B"/>
                <w:sz w:val="18"/>
                <w:szCs w:val="18"/>
              </w:rPr>
              <w:t xml:space="preserve">Marrakesh</w:t>
            </w:r>
          </w:p>
        </w:tc>
        <w:tc>
          <w:tcPr>
            <w:tcW w:type="dxa" w:w="3773"/>
            <w:tcBorders>
              <w:top w:val="single" w:color="EAD6BC" w:sz="4"/>
              <w:left w:val="single" w:color="EAD6BC" w:sz="4"/>
              <w:bottom w:val="single" w:color="EAD6BC" w:sz="4"/>
              <w:right w:val="single" w:color="EAD6BC" w:sz="4"/>
            </w:tcBorders>
            <w:shd w:fill="F6EBDD"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Palm Menara ou similar</w:t>
            </w:r>
          </w:p>
        </w:tc>
        <w:tc>
          <w:tcPr>
            <w:tcW w:type="dxa" w:w="3773"/>
            <w:tcBorders>
              <w:top w:val="single" w:color="EAD6BC" w:sz="4"/>
              <w:left w:val="single" w:color="EAD6BC" w:sz="4"/>
              <w:bottom w:val="single" w:color="EAD6BC" w:sz="4"/>
              <w:right w:val="single" w:color="EAD6BC" w:sz="4"/>
            </w:tcBorders>
            <w:shd w:fill="F6EBDD"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Kenzi Rose Garden ou similar</w:t>
            </w:r>
          </w:p>
        </w:tc>
      </w:tr>
      <w:tr>
        <w:trPr>
          <w:cantSplit/>
        </w:trPr>
        <w:tc>
          <w:tcPr>
            <w:tcW w:type="dxa" w:w="2200"/>
            <w:tcBorders>
              <w:top w:val="single" w:color="EAD6BC" w:sz="4"/>
              <w:left w:val="single" w:color="EAD6BC" w:sz="4"/>
              <w:bottom w:val="single" w:color="EAD6BC" w:sz="4"/>
              <w:right w:val="single" w:color="EAD6BC" w:sz="4"/>
            </w:tcBorders>
            <w:shd w:fill="FFFFFF" w:color="auto" w:val="clear"/>
            <w:tcMar>
              <w:top w:type="dxa" w:w="60"/>
              <w:left w:type="dxa" w:w="120"/>
              <w:bottom w:type="dxa" w:w="60"/>
              <w:right w:type="dxa" w:w="120"/>
            </w:tcMar>
          </w:tcPr>
          <w:p>
            <w:pPr>
              <w:spacing w:after="0" w:before="0" w:line="264" w:lineRule="auto"/>
            </w:pPr>
            <w:r>
              <w:rPr>
                <w:rFonts w:ascii="Calibri" w:cs="Calibri" w:eastAsia="Calibri" w:hAnsi="Calibri"/>
                <w:b/>
                <w:bCs/>
                <w:color w:val="2B2B2B"/>
                <w:sz w:val="18"/>
                <w:szCs w:val="18"/>
              </w:rPr>
              <w:t xml:space="preserve">Boumalne</w:t>
            </w:r>
          </w:p>
        </w:tc>
        <w:tc>
          <w:tcPr>
            <w:tcW w:type="dxa" w:w="3773"/>
            <w:tcBorders>
              <w:top w:val="single" w:color="EAD6BC" w:sz="4"/>
              <w:left w:val="single" w:color="EAD6BC" w:sz="4"/>
              <w:bottom w:val="single" w:color="EAD6BC" w:sz="4"/>
              <w:right w:val="single" w:color="EAD6BC" w:sz="4"/>
            </w:tcBorders>
            <w:shd w:fill="FFFFFF"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Xaluca Dades ou similar</w:t>
            </w:r>
          </w:p>
        </w:tc>
        <w:tc>
          <w:tcPr>
            <w:tcW w:type="dxa" w:w="3773"/>
            <w:tcBorders>
              <w:top w:val="single" w:color="EAD6BC" w:sz="4"/>
              <w:left w:val="single" w:color="EAD6BC" w:sz="4"/>
              <w:bottom w:val="single" w:color="EAD6BC" w:sz="4"/>
              <w:right w:val="single" w:color="EAD6BC" w:sz="4"/>
            </w:tcBorders>
            <w:shd w:fill="FFFFFF"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Xaluca Dades ou similar</w:t>
            </w:r>
          </w:p>
        </w:tc>
      </w:tr>
      <w:tr>
        <w:trPr>
          <w:cantSplit/>
        </w:trPr>
        <w:tc>
          <w:tcPr>
            <w:tcW w:type="dxa" w:w="2200"/>
            <w:tcBorders>
              <w:top w:val="single" w:color="EAD6BC" w:sz="4"/>
              <w:left w:val="single" w:color="EAD6BC" w:sz="4"/>
              <w:bottom w:val="single" w:color="EAD6BC" w:sz="4"/>
              <w:right w:val="single" w:color="EAD6BC" w:sz="4"/>
            </w:tcBorders>
            <w:shd w:fill="F6EBDD" w:color="auto" w:val="clear"/>
            <w:tcMar>
              <w:top w:type="dxa" w:w="60"/>
              <w:left w:type="dxa" w:w="120"/>
              <w:bottom w:type="dxa" w:w="60"/>
              <w:right w:type="dxa" w:w="120"/>
            </w:tcMar>
          </w:tcPr>
          <w:p>
            <w:pPr>
              <w:spacing w:after="0" w:before="0" w:line="264" w:lineRule="auto"/>
            </w:pPr>
            <w:r>
              <w:rPr>
                <w:rFonts w:ascii="Calibri" w:cs="Calibri" w:eastAsia="Calibri" w:hAnsi="Calibri"/>
                <w:b/>
                <w:bCs/>
                <w:color w:val="2B2B2B"/>
                <w:sz w:val="18"/>
                <w:szCs w:val="18"/>
              </w:rPr>
              <w:t xml:space="preserve">Erfoud</w:t>
            </w:r>
          </w:p>
        </w:tc>
        <w:tc>
          <w:tcPr>
            <w:tcW w:type="dxa" w:w="3773"/>
            <w:tcBorders>
              <w:top w:val="single" w:color="EAD6BC" w:sz="4"/>
              <w:left w:val="single" w:color="EAD6BC" w:sz="4"/>
              <w:bottom w:val="single" w:color="EAD6BC" w:sz="4"/>
              <w:right w:val="single" w:color="EAD6BC" w:sz="4"/>
            </w:tcBorders>
            <w:shd w:fill="F6EBDD"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Belere ou similar</w:t>
            </w:r>
          </w:p>
        </w:tc>
        <w:tc>
          <w:tcPr>
            <w:tcW w:type="dxa" w:w="3773"/>
            <w:tcBorders>
              <w:top w:val="single" w:color="EAD6BC" w:sz="4"/>
              <w:left w:val="single" w:color="EAD6BC" w:sz="4"/>
              <w:bottom w:val="single" w:color="EAD6BC" w:sz="4"/>
              <w:right w:val="single" w:color="EAD6BC" w:sz="4"/>
            </w:tcBorders>
            <w:shd w:fill="F6EBDD"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Xaluca Maadid ou similar</w:t>
            </w:r>
          </w:p>
        </w:tc>
      </w:tr>
      <w:tr>
        <w:trPr>
          <w:cantSplit/>
        </w:trPr>
        <w:tc>
          <w:tcPr>
            <w:tcW w:type="dxa" w:w="2200"/>
            <w:tcBorders>
              <w:top w:val="single" w:color="EAD6BC" w:sz="4"/>
              <w:left w:val="single" w:color="EAD6BC" w:sz="4"/>
              <w:bottom w:val="single" w:color="EAD6BC" w:sz="4"/>
              <w:right w:val="single" w:color="EAD6BC" w:sz="4"/>
            </w:tcBorders>
            <w:shd w:fill="FFFFFF" w:color="auto" w:val="clear"/>
            <w:tcMar>
              <w:top w:type="dxa" w:w="60"/>
              <w:left w:type="dxa" w:w="120"/>
              <w:bottom w:type="dxa" w:w="60"/>
              <w:right w:type="dxa" w:w="120"/>
            </w:tcMar>
          </w:tcPr>
          <w:p>
            <w:pPr>
              <w:spacing w:after="0" w:before="0" w:line="264" w:lineRule="auto"/>
            </w:pPr>
            <w:r>
              <w:rPr>
                <w:rFonts w:ascii="Calibri" w:cs="Calibri" w:eastAsia="Calibri" w:hAnsi="Calibri"/>
                <w:b/>
                <w:bCs/>
                <w:color w:val="2B2B2B"/>
                <w:sz w:val="18"/>
                <w:szCs w:val="18"/>
              </w:rPr>
              <w:t xml:space="preserve">Zagora</w:t>
            </w:r>
          </w:p>
        </w:tc>
        <w:tc>
          <w:tcPr>
            <w:tcW w:type="dxa" w:w="3773"/>
            <w:tcBorders>
              <w:top w:val="single" w:color="EAD6BC" w:sz="4"/>
              <w:left w:val="single" w:color="EAD6BC" w:sz="4"/>
              <w:bottom w:val="single" w:color="EAD6BC" w:sz="4"/>
              <w:right w:val="single" w:color="EAD6BC" w:sz="4"/>
            </w:tcBorders>
            <w:shd w:fill="FFFFFF"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Dar Sofiane ou similar</w:t>
            </w:r>
          </w:p>
        </w:tc>
        <w:tc>
          <w:tcPr>
            <w:tcW w:type="dxa" w:w="3773"/>
            <w:tcBorders>
              <w:top w:val="single" w:color="EAD6BC" w:sz="4"/>
              <w:left w:val="single" w:color="EAD6BC" w:sz="4"/>
              <w:bottom w:val="single" w:color="EAD6BC" w:sz="4"/>
              <w:right w:val="single" w:color="EAD6BC" w:sz="4"/>
            </w:tcBorders>
            <w:shd w:fill="FFFFFF" w:color="auto" w:val="clear"/>
            <w:tcMar>
              <w:top w:type="dxa" w:w="60"/>
              <w:left w:type="dxa" w:w="120"/>
              <w:bottom w:type="dxa" w:w="60"/>
              <w:right w:type="dxa" w:w="120"/>
            </w:tcMar>
          </w:tcPr>
          <w:p>
            <w:pPr>
              <w:spacing w:after="0" w:before="0" w:line="264" w:lineRule="auto"/>
            </w:pPr>
            <w:r>
              <w:rPr>
                <w:rFonts w:ascii="Calibri" w:cs="Calibri" w:eastAsia="Calibri" w:hAnsi="Calibri"/>
                <w:color w:val="2B2B2B"/>
                <w:sz w:val="18"/>
                <w:szCs w:val="18"/>
              </w:rPr>
              <w:t xml:space="preserve">Riad Iamane ou similar</w:t>
            </w:r>
          </w:p>
        </w:tc>
      </w:tr>
    </w:tbl>
    <w:p>
      <w:pPr>
        <w:keepNext/>
        <w:pBdr>
          <w:bottom w:val="single" w:color="C8902E" w:sz="6" w:space="2"/>
        </w:pBdr>
        <w:spacing w:after="60" w:before="140" w:line="264" w:lineRule="auto"/>
      </w:pPr>
      <w:r>
        <w:rPr>
          <w:rFonts w:ascii="Calibri" w:cs="Calibri" w:eastAsia="Calibri" w:hAnsi="Calibri"/>
          <w:b/>
          <w:bCs/>
          <w:color w:val="A0471F"/>
          <w:spacing w:val="20"/>
          <w:sz w:val="20"/>
          <w:szCs w:val="20"/>
        </w:rPr>
        <w:t xml:space="preserve">ROTEIRO DIA A DIA</w:t>
      </w:r>
    </w:p>
    <w:p>
      <w:pPr>
        <w:keepNext/>
        <w:spacing w:after="20" w:before="60" w:line="264" w:lineRule="auto"/>
      </w:pPr>
      <w:r>
        <w:rPr>
          <w:rFonts w:ascii="Calibri" w:cs="Calibri" w:eastAsia="Calibri" w:hAnsi="Calibri"/>
          <w:b/>
          <w:bCs/>
          <w:color w:val="A0471F"/>
          <w:sz w:val="19"/>
          <w:szCs w:val="19"/>
        </w:rPr>
        <w:t xml:space="preserve">DIA 1  </w:t>
      </w:r>
      <w:r>
        <w:rPr>
          <w:rFonts w:ascii="Calibri" w:cs="Calibri" w:eastAsia="Calibri" w:hAnsi="Calibri"/>
          <w:b/>
          <w:bCs/>
          <w:color w:val="3B2416"/>
          <w:sz w:val="19"/>
          <w:szCs w:val="19"/>
        </w:rPr>
        <w:t xml:space="preserve">MARRAKESH</w:t>
      </w:r>
    </w:p>
    <w:p>
      <w:pPr>
        <w:spacing w:after="50" w:before="0" w:line="264" w:lineRule="auto"/>
        <w:jc w:val="both"/>
      </w:pPr>
      <w:r>
        <w:rPr>
          <w:rFonts w:ascii="Calibri" w:cs="Calibri" w:eastAsia="Calibri" w:hAnsi="Calibri"/>
          <w:color w:val="2B2B2B"/>
          <w:sz w:val="19"/>
          <w:szCs w:val="19"/>
        </w:rPr>
        <w:t xml:space="preserve">Chegada a Marrakesh. Traslado ao hotel e jantar.</w:t>
      </w:r>
    </w:p>
    <w:p>
      <w:pPr>
        <w:keepNext/>
        <w:spacing w:after="20" w:before="60" w:line="264" w:lineRule="auto"/>
      </w:pPr>
      <w:r>
        <w:rPr>
          <w:rFonts w:ascii="Calibri" w:cs="Calibri" w:eastAsia="Calibri" w:hAnsi="Calibri"/>
          <w:b/>
          <w:bCs/>
          <w:color w:val="A0471F"/>
          <w:sz w:val="19"/>
          <w:szCs w:val="19"/>
        </w:rPr>
        <w:t xml:space="preserve">DIA 2  </w:t>
      </w:r>
      <w:r>
        <w:rPr>
          <w:rFonts w:ascii="Calibri" w:cs="Calibri" w:eastAsia="Calibri" w:hAnsi="Calibri"/>
          <w:b/>
          <w:bCs/>
          <w:color w:val="3B2416"/>
          <w:sz w:val="19"/>
          <w:szCs w:val="19"/>
        </w:rPr>
        <w:t xml:space="preserve">MARRAKESH – OUARZAZATE – BOUMALNE</w:t>
      </w:r>
    </w:p>
    <w:p>
      <w:pPr>
        <w:spacing w:after="50" w:before="0" w:line="264" w:lineRule="auto"/>
        <w:jc w:val="both"/>
      </w:pPr>
      <w:r>
        <w:rPr>
          <w:rFonts w:ascii="Calibri" w:cs="Calibri" w:eastAsia="Calibri" w:hAnsi="Calibri"/>
          <w:color w:val="2B2B2B"/>
          <w:sz w:val="19"/>
          <w:szCs w:val="19"/>
        </w:rPr>
        <w:t xml:space="preserve">Café da manhã e partida de minivan para Ouarzazate via Taddert e o passo Tizi n'Tichka (2.260 m). Continuação para a Kasbah Telouet e visita à Kasbah Aït Benhaddou (almoço opcional). Depois, continuação para Boumalne via Skoura, um dos oásis mais deslumbrantes e ricos em palmeiras, com visita à Kasbah Afridi, construída no século XVII — um museu vivo da vida tradicional nas kasbahs. Check-in, jantar e pernoite.</w:t>
      </w:r>
    </w:p>
    <w:p>
      <w:pPr>
        <w:keepNext/>
        <w:spacing w:after="20" w:before="60" w:line="264" w:lineRule="auto"/>
      </w:pPr>
      <w:r>
        <w:rPr>
          <w:rFonts w:ascii="Calibri" w:cs="Calibri" w:eastAsia="Calibri" w:hAnsi="Calibri"/>
          <w:b/>
          <w:bCs/>
          <w:color w:val="A0471F"/>
          <w:sz w:val="19"/>
          <w:szCs w:val="19"/>
        </w:rPr>
        <w:t xml:space="preserve">DIA 3  </w:t>
      </w:r>
      <w:r>
        <w:rPr>
          <w:rFonts w:ascii="Calibri" w:cs="Calibri" w:eastAsia="Calibri" w:hAnsi="Calibri"/>
          <w:b/>
          <w:bCs/>
          <w:color w:val="3B2416"/>
          <w:sz w:val="19"/>
          <w:szCs w:val="19"/>
        </w:rPr>
        <w:t xml:space="preserve">BOUMALNE – TINEGHIR – ERFOUD</w:t>
      </w:r>
    </w:p>
    <w:p>
      <w:pPr>
        <w:spacing w:after="50" w:before="0" w:line="264" w:lineRule="auto"/>
        <w:jc w:val="both"/>
      </w:pPr>
      <w:r>
        <w:rPr>
          <w:rFonts w:ascii="Calibri" w:cs="Calibri" w:eastAsia="Calibri" w:hAnsi="Calibri"/>
          <w:color w:val="2B2B2B"/>
          <w:sz w:val="19"/>
          <w:szCs w:val="19"/>
        </w:rPr>
        <w:t xml:space="preserve">Café da manhã e partida para as Gargantas do Todra, no lado leste das Montanhas do Alto Atlas. Nos últimos 600 metros, o cânion se estreita para uma trilha de apenas 10 metros de largura, com paredes rochosas de até 160 metros de altura, que mudam de cor ao longo do dia, do vermelho rosado ao bege. Almoço livre. Continuação para Erfoud pela estrada de Tinjdad, check-in, jantar e pernoite. Opcionais: noite de acampamento nas Dunas de Merzouga ou excursão 4x4 ao deserto de Merzouga.</w:t>
      </w:r>
    </w:p>
    <w:p>
      <w:pPr>
        <w:keepNext/>
        <w:spacing w:after="20" w:before="60" w:line="264" w:lineRule="auto"/>
      </w:pPr>
      <w:r>
        <w:rPr>
          <w:rFonts w:ascii="Calibri" w:cs="Calibri" w:eastAsia="Calibri" w:hAnsi="Calibri"/>
          <w:b/>
          <w:bCs/>
          <w:color w:val="A0471F"/>
          <w:sz w:val="19"/>
          <w:szCs w:val="19"/>
        </w:rPr>
        <w:t xml:space="preserve">DIA 4  </w:t>
      </w:r>
      <w:r>
        <w:rPr>
          <w:rFonts w:ascii="Calibri" w:cs="Calibri" w:eastAsia="Calibri" w:hAnsi="Calibri"/>
          <w:b/>
          <w:bCs/>
          <w:color w:val="3B2416"/>
          <w:sz w:val="19"/>
          <w:szCs w:val="19"/>
        </w:rPr>
        <w:t xml:space="preserve">ERFOUD – ALNIF – ZAGORA</w:t>
      </w:r>
    </w:p>
    <w:p>
      <w:pPr>
        <w:spacing w:after="50" w:before="0" w:line="264" w:lineRule="auto"/>
        <w:jc w:val="both"/>
      </w:pPr>
      <w:r>
        <w:rPr>
          <w:rFonts w:ascii="Calibri" w:cs="Calibri" w:eastAsia="Calibri" w:hAnsi="Calibri"/>
          <w:color w:val="2B2B2B"/>
          <w:sz w:val="19"/>
          <w:szCs w:val="19"/>
        </w:rPr>
        <w:t xml:space="preserve">Café da manhã e partida via Alnif para Tazzarine. Almoço opcional. Continuação para Zagora. Jantar e hospedagem. Opcionais: noite de acampamento nos desertos de Mhamid El Ghizlane, Erg Chegaga ou Erg Lihoudi, ou excursão 4x4 ao deserto de Erg Chegaga.</w:t>
      </w:r>
    </w:p>
    <w:p>
      <w:pPr>
        <w:keepNext/>
        <w:spacing w:after="20" w:before="60" w:line="264" w:lineRule="auto"/>
      </w:pPr>
      <w:r>
        <w:rPr>
          <w:rFonts w:ascii="Calibri" w:cs="Calibri" w:eastAsia="Calibri" w:hAnsi="Calibri"/>
          <w:b/>
          <w:bCs/>
          <w:color w:val="A0471F"/>
          <w:sz w:val="19"/>
          <w:szCs w:val="19"/>
        </w:rPr>
        <w:t xml:space="preserve">DIA 5  </w:t>
      </w:r>
      <w:r>
        <w:rPr>
          <w:rFonts w:ascii="Calibri" w:cs="Calibri" w:eastAsia="Calibri" w:hAnsi="Calibri"/>
          <w:b/>
          <w:bCs/>
          <w:color w:val="3B2416"/>
          <w:sz w:val="19"/>
          <w:szCs w:val="19"/>
        </w:rPr>
        <w:t xml:space="preserve">ZAGORA – AÏT BENHADDOU – MARRAKESH</w:t>
      </w:r>
    </w:p>
    <w:p>
      <w:pPr>
        <w:spacing w:after="50" w:before="0" w:line="264" w:lineRule="auto"/>
        <w:jc w:val="both"/>
      </w:pPr>
      <w:r>
        <w:rPr>
          <w:rFonts w:ascii="Calibri" w:cs="Calibri" w:eastAsia="Calibri" w:hAnsi="Calibri"/>
          <w:color w:val="2B2B2B"/>
          <w:sz w:val="19"/>
          <w:szCs w:val="19"/>
        </w:rPr>
        <w:t xml:space="preserve">Café da manhã e retorno a Marrakesh via Aït Benhaddou (almoço opcional em restaurante local). A Kasbah Aït Benhaddou é um dos castelos de terra vermelha mais intrigantes da antiga Rota das Kasbahs e a fortaleza mais espetacular do sul do Marrocos, cenário de filmes como "Lawrence da Arábia", "Jesus de Nazaré" e "Game of Thrones". Continuação para Marrakesh. Jantar e pernoite.</w:t>
      </w:r>
    </w:p>
    <w:p>
      <w:pPr>
        <w:keepNext/>
        <w:spacing w:after="20" w:before="60" w:line="264" w:lineRule="auto"/>
      </w:pPr>
      <w:r>
        <w:rPr>
          <w:rFonts w:ascii="Calibri" w:cs="Calibri" w:eastAsia="Calibri" w:hAnsi="Calibri"/>
          <w:b/>
          <w:bCs/>
          <w:color w:val="A0471F"/>
          <w:sz w:val="19"/>
          <w:szCs w:val="19"/>
        </w:rPr>
        <w:t xml:space="preserve">DIA 6  </w:t>
      </w:r>
      <w:r>
        <w:rPr>
          <w:rFonts w:ascii="Calibri" w:cs="Calibri" w:eastAsia="Calibri" w:hAnsi="Calibri"/>
          <w:b/>
          <w:bCs/>
          <w:color w:val="3B2416"/>
          <w:sz w:val="19"/>
          <w:szCs w:val="19"/>
        </w:rPr>
        <w:t xml:space="preserve">MARRAKESH</w:t>
      </w:r>
    </w:p>
    <w:p>
      <w:pPr>
        <w:spacing w:after="50" w:before="0" w:line="264" w:lineRule="auto"/>
        <w:jc w:val="both"/>
      </w:pPr>
      <w:r>
        <w:rPr>
          <w:rFonts w:ascii="Calibri" w:cs="Calibri" w:eastAsia="Calibri" w:hAnsi="Calibri"/>
          <w:color w:val="2B2B2B"/>
          <w:sz w:val="19"/>
          <w:szCs w:val="19"/>
        </w:rPr>
        <w:t xml:space="preserve">Café da manhã. Dia inteiro dedicado a Marrakesh: Medersa Ben Youssef, Koutoubia, Palácio da Bahia e Jardins Menara. Almoço no hotel. Visita aos souks e à praça Djemaâ El Fna. Opcional: jantar Diffa Fantasia sob tendas caidais no famoso restaurante "Chez Ali", com shows de camelos e cavalos, danças folclóricas e dança do ventre. Pernoite.</w:t>
      </w:r>
    </w:p>
    <w:p>
      <w:pPr>
        <w:keepNext/>
        <w:spacing w:after="20" w:before="60" w:line="264" w:lineRule="auto"/>
      </w:pPr>
      <w:r>
        <w:rPr>
          <w:rFonts w:ascii="Calibri" w:cs="Calibri" w:eastAsia="Calibri" w:hAnsi="Calibri"/>
          <w:b/>
          <w:bCs/>
          <w:color w:val="A0471F"/>
          <w:sz w:val="19"/>
          <w:szCs w:val="19"/>
        </w:rPr>
        <w:t xml:space="preserve">DIA 7  </w:t>
      </w:r>
      <w:r>
        <w:rPr>
          <w:rFonts w:ascii="Calibri" w:cs="Calibri" w:eastAsia="Calibri" w:hAnsi="Calibri"/>
          <w:b/>
          <w:bCs/>
          <w:color w:val="3B2416"/>
          <w:sz w:val="19"/>
          <w:szCs w:val="19"/>
        </w:rPr>
        <w:t xml:space="preserve">MARRAKESH</w:t>
      </w:r>
    </w:p>
    <w:p>
      <w:pPr>
        <w:spacing w:after="50" w:before="0" w:line="264" w:lineRule="auto"/>
        <w:jc w:val="both"/>
      </w:pPr>
      <w:r>
        <w:rPr>
          <w:rFonts w:ascii="Calibri" w:cs="Calibri" w:eastAsia="Calibri" w:hAnsi="Calibri"/>
          <w:color w:val="2B2B2B"/>
          <w:sz w:val="19"/>
          <w:szCs w:val="19"/>
        </w:rPr>
        <w:t xml:space="preserve">Café da manhã. Dia livre para atividades pessoais, passeios opcionais ou relaxar na piscina do hotel. Jantar no hotel.</w:t>
      </w:r>
    </w:p>
    <w:p>
      <w:pPr>
        <w:keepNext/>
        <w:spacing w:after="20" w:before="60" w:line="264" w:lineRule="auto"/>
      </w:pPr>
      <w:r>
        <w:rPr>
          <w:rFonts w:ascii="Calibri" w:cs="Calibri" w:eastAsia="Calibri" w:hAnsi="Calibri"/>
          <w:b/>
          <w:bCs/>
          <w:color w:val="A0471F"/>
          <w:sz w:val="19"/>
          <w:szCs w:val="19"/>
        </w:rPr>
        <w:t xml:space="preserve">DIA 8  </w:t>
      </w:r>
      <w:r>
        <w:rPr>
          <w:rFonts w:ascii="Calibri" w:cs="Calibri" w:eastAsia="Calibri" w:hAnsi="Calibri"/>
          <w:b/>
          <w:bCs/>
          <w:color w:val="3B2416"/>
          <w:sz w:val="19"/>
          <w:szCs w:val="19"/>
        </w:rPr>
        <w:t xml:space="preserve">MARRAKESH</w:t>
      </w:r>
    </w:p>
    <w:p>
      <w:pPr>
        <w:spacing w:after="50" w:before="0" w:line="264" w:lineRule="auto"/>
        <w:jc w:val="both"/>
      </w:pPr>
      <w:r>
        <w:rPr>
          <w:rFonts w:ascii="Calibri" w:cs="Calibri" w:eastAsia="Calibri" w:hAnsi="Calibri"/>
          <w:color w:val="2B2B2B"/>
          <w:sz w:val="19"/>
          <w:szCs w:val="19"/>
        </w:rPr>
        <w:t xml:space="preserve">Café da manhã e traslado ao aeroporto.</w:t>
      </w:r>
    </w:p>
    <w:p>
      <w:pPr>
        <w:keepNext/>
        <w:pBdr>
          <w:bottom w:val="single" w:color="C8902E" w:sz="6" w:space="2"/>
        </w:pBdr>
        <w:spacing w:after="60" w:before="140" w:line="264" w:lineRule="auto"/>
      </w:pPr>
      <w:r>
        <w:rPr>
          <w:rFonts w:ascii="Calibri" w:cs="Calibri" w:eastAsia="Calibri" w:hAnsi="Calibri"/>
          <w:b/>
          <w:bCs/>
          <w:color w:val="A0471F"/>
          <w:spacing w:val="20"/>
          <w:sz w:val="20"/>
          <w:szCs w:val="20"/>
        </w:rPr>
        <w:t xml:space="preserve">NÃO INCLUI</w:t>
      </w:r>
    </w:p>
    <w:p>
      <w:pPr>
        <w:pStyle w:val="ListParagraph"/>
        <w:keepNext w:val="false"/>
        <w:numPr>
          <w:ilvl w:val="0"/>
          <w:numId w:val="2"/>
        </w:numPr>
        <w:spacing w:after="30" w:line="252"/>
      </w:pPr>
      <w:r>
        <w:rPr>
          <w:rFonts w:ascii="Calibri" w:cs="Calibri" w:eastAsia="Calibri" w:hAnsi="Calibri"/>
          <w:color w:val="2B2B2B"/>
          <w:sz w:val="19"/>
          <w:szCs w:val="19"/>
        </w:rPr>
        <w:t xml:space="preserve">Passagens aéreas e taxas de embarque</w:t>
      </w:r>
    </w:p>
    <w:p>
      <w:pPr>
        <w:pStyle w:val="ListParagraph"/>
        <w:keepNext w:val="false"/>
        <w:numPr>
          <w:ilvl w:val="0"/>
          <w:numId w:val="2"/>
        </w:numPr>
        <w:spacing w:after="30" w:line="252"/>
      </w:pPr>
      <w:r>
        <w:rPr>
          <w:rFonts w:ascii="Calibri" w:cs="Calibri" w:eastAsia="Calibri" w:hAnsi="Calibri"/>
          <w:color w:val="2B2B2B"/>
          <w:sz w:val="19"/>
          <w:szCs w:val="19"/>
        </w:rPr>
        <w:t xml:space="preserve">Possíveis taxas de turismo a serem pagas localmente</w:t>
      </w:r>
    </w:p>
    <w:p>
      <w:pPr>
        <w:pStyle w:val="ListParagraph"/>
        <w:keepNext w:val="false"/>
        <w:numPr>
          <w:ilvl w:val="0"/>
          <w:numId w:val="2"/>
        </w:numPr>
        <w:spacing w:after="30" w:line="252"/>
      </w:pPr>
      <w:r>
        <w:rPr>
          <w:rFonts w:ascii="Calibri" w:cs="Calibri" w:eastAsia="Calibri" w:hAnsi="Calibri"/>
          <w:color w:val="2B2B2B"/>
          <w:sz w:val="19"/>
          <w:szCs w:val="19"/>
        </w:rPr>
        <w:t xml:space="preserve">Passeios opcionais e/ou sugeridos</w:t>
      </w:r>
    </w:p>
    <w:p>
      <w:pPr>
        <w:pStyle w:val="ListParagraph"/>
        <w:keepNext/>
        <w:numPr>
          <w:ilvl w:val="0"/>
          <w:numId w:val="2"/>
        </w:numPr>
        <w:spacing w:after="30" w:line="252"/>
      </w:pPr>
      <w:r>
        <w:rPr>
          <w:rFonts w:ascii="Calibri" w:cs="Calibri" w:eastAsia="Calibri" w:hAnsi="Calibri"/>
          <w:color w:val="2B2B2B"/>
          <w:sz w:val="19"/>
          <w:szCs w:val="19"/>
        </w:rPr>
        <w:t xml:space="preserve">Despesas pessoais (documentação, gratificações, excesso de bagagem, telefonemas, lavanderia, refeições e bebidas adicionais) e tudo o que não estiver explicitamente mencionado como incluso</w:t>
      </w:r>
    </w:p>
    <w:p>
      <w:pPr>
        <w:spacing w:after="0" w:before="60" w:line="264" w:lineRule="auto"/>
      </w:pPr>
      <w:r>
        <w:rPr>
          <w:rFonts w:ascii="Calibri" w:cs="Calibri" w:eastAsia="Calibri" w:hAnsi="Calibri"/>
          <w:i/>
          <w:iCs/>
          <w:color w:val="6B5A4A"/>
          <w:sz w:val="17"/>
          <w:szCs w:val="17"/>
        </w:rPr>
        <w:t xml:space="preserve">Recomendamos a contratação de seguro de assistência em viagem e chip com plano de dados para o smartphone.</w:t>
      </w:r>
    </w:p>
    <w:sectPr>
      <w:footerReference w:type="default" r:id="rId7"/>
      <w:pgSz w:w="11906" w:h="16838"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A8A7A"/>
        <w:sz w:val="15"/>
        <w:szCs w:val="15"/>
      </w:rPr>
      <w:t xml:space="preserve">Oásis, Dunas e Deserto de Minivan • 2027  •  </w:t>
    </w:r>
    <w:r>
      <w:rPr>
        <w:rFonts w:ascii="Calibri" w:cs="Calibri" w:eastAsia="Calibri" w:hAnsi="Calibri"/>
        <w:color w:val="9A8A7A"/>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C8902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3B2416"/>
      <w:sz w:val="38"/>
      <w:szCs w:val="3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0310c380654bd1f4949dd2cde29c6723dfcb516.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2026-10-16T15:21:34.747Z</dcterms:created>
  <dcterms:modified xsi:type="dcterms:W3CDTF">2026-10-16T15:21:34.747Z</dcterms:modified>
</cp:coreProperties>
</file>

<file path=docProps/custom.xml><?xml version="1.0" encoding="utf-8"?>
<Properties xmlns="http://schemas.openxmlformats.org/officeDocument/2006/custom-properties" xmlns:vt="http://schemas.openxmlformats.org/officeDocument/2006/docPropsVTypes"/>
</file>