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100" w:before="0"/>
      </w:pPr>
      <w:r>
        <w:drawing>
          <wp:inline distT="0" distB="0" distL="0" distR="0">
            <wp:extent cx="6191250" cy="1819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20" w:before="0" w:line="264" w:lineRule="auto"/>
      </w:pPr>
      <w:r>
        <w:rPr>
          <w:rFonts w:ascii="Calibri" w:cs="Calibri" w:eastAsia="Calibri" w:hAnsi="Calibri"/>
          <w:b/>
          <w:bCs/>
          <w:color w:val="C8902E"/>
          <w:spacing w:val="40"/>
          <w:sz w:val="18"/>
          <w:szCs w:val="18"/>
        </w:rPr>
        <w:t xml:space="preserve">ESPANHA E MARROCOS</w:t>
      </w:r>
    </w:p>
    <w:p>
      <w:pPr>
        <w:pStyle w:val="Heading1"/>
        <w:keepNext/>
        <w:spacing w:after="40"/>
      </w:pPr>
      <w:r>
        <w:rPr>
          <w:rFonts w:ascii="Georgia" w:cs="Georgia" w:eastAsia="Georgia" w:hAnsi="Georgia"/>
          <w:b/>
          <w:bCs/>
          <w:color w:val="3B2416"/>
          <w:sz w:val="38"/>
          <w:szCs w:val="38"/>
        </w:rPr>
        <w:t xml:space="preserve">Madri, Andaluzia &amp; Marrocos com Costa do Sol</w:t>
      </w:r>
    </w:p>
    <w:p>
      <w:pPr>
        <w:keepNext/>
        <w:spacing w:after="120" w:before="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16 dias  •  15 noites  •  Saídas às sextas-feiras selecionadas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346"/>
        <w:gridCol w:w="3400"/>
      </w:tblGrid>
      <w:tr>
        <w:trPr>
          <w:cantSplit/>
        </w:trPr>
        <w:tc>
          <w:tcPr>
            <w:tcW w:type="dxa" w:w="6346"/>
            <w:shd w:fill="F6EBDD" w:color="auto" w:val="clear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4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A0471F"/>
                <w:spacing w:val="20"/>
                <w:sz w:val="18"/>
                <w:szCs w:val="18"/>
              </w:rPr>
              <w:t xml:space="preserve">SAÍDAS EM 2027</w:t>
            </w:r>
          </w:p>
          <w:p>
            <w:pPr>
              <w:spacing w:after="30" w:before="0" w:line="264" w:lineRule="auto"/>
            </w:pPr>
            <w:r>
              <w:rPr>
                <w:rFonts w:ascii="Calibri" w:cs="Calibri" w:eastAsia="Calibri" w:hAnsi="Calibri"/>
                <w:color w:val="C8902E"/>
                <w:sz w:val="19"/>
                <w:szCs w:val="19"/>
              </w:rPr>
              <w:t xml:space="preserve">▸ </w:t>
            </w:r>
            <w:r>
              <w:rPr>
                <w:rFonts w:ascii="Calibri" w:cs="Calibri" w:eastAsia="Calibri" w:hAnsi="Calibri"/>
                <w:b/>
                <w:bCs/>
                <w:color w:val="3B2416"/>
                <w:sz w:val="20"/>
                <w:szCs w:val="20"/>
              </w:rPr>
              <w:t xml:space="preserve">05 de fevereiro de 2027</w:t>
            </w:r>
          </w:p>
          <w:p>
            <w:pPr>
              <w:spacing w:after="30" w:before="0" w:line="264" w:lineRule="auto"/>
            </w:pPr>
            <w:r>
              <w:rPr>
                <w:rFonts w:ascii="Calibri" w:cs="Calibri" w:eastAsia="Calibri" w:hAnsi="Calibri"/>
                <w:color w:val="C8902E"/>
                <w:sz w:val="19"/>
                <w:szCs w:val="19"/>
              </w:rPr>
              <w:t xml:space="preserve">▸ </w:t>
            </w:r>
            <w:r>
              <w:rPr>
                <w:rFonts w:ascii="Calibri" w:cs="Calibri" w:eastAsia="Calibri" w:hAnsi="Calibri"/>
                <w:b/>
                <w:bCs/>
                <w:color w:val="3B2416"/>
                <w:sz w:val="20"/>
                <w:szCs w:val="20"/>
              </w:rPr>
              <w:t xml:space="preserve">05, 12 e 19 de março de 2027</w:t>
            </w:r>
          </w:p>
          <w:p>
            <w:pPr>
              <w:spacing w:after="0" w:before="40" w:line="264" w:lineRule="auto"/>
            </w:pPr>
            <w:r>
              <w:rPr>
                <w:rFonts w:ascii="Calibri" w:cs="Calibri" w:eastAsia="Calibri" w:hAnsi="Calibri"/>
                <w:i/>
                <w:iCs/>
                <w:color w:val="6B5A4A"/>
                <w:sz w:val="17"/>
                <w:szCs w:val="17"/>
              </w:rPr>
              <w:t xml:space="preserve">Consultar valores de suplementos de saída.</w:t>
            </w:r>
          </w:p>
        </w:tc>
        <w:tc>
          <w:tcPr>
            <w:tcW w:type="dxa" w:w="3400"/>
            <w:shd w:fill="A0471F" w:color="auto" w:val="clear"/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pPr>
              <w:spacing w:after="40" w:before="0" w:line="264" w:lineRule="auto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20"/>
                <w:sz w:val="18"/>
                <w:szCs w:val="18"/>
              </w:rPr>
              <w:t xml:space="preserve">VALORES</w:t>
            </w:r>
          </w:p>
          <w:p>
            <w:pPr>
              <w:spacing w:after="40" w:before="0" w:line="264" w:lineRule="auto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0"/>
                <w:szCs w:val="30"/>
              </w:rPr>
              <w:t xml:space="preserve">A consultar</w:t>
            </w:r>
          </w:p>
          <w:p>
            <w:pPr>
              <w:spacing w:after="0" w:before="0" w:line="264" w:lineRule="auto"/>
              <w:jc w:val="center"/>
            </w:pPr>
            <w:r>
              <w:rPr>
                <w:rFonts w:ascii="Calibri" w:cs="Calibri" w:eastAsia="Calibri" w:hAnsi="Calibri"/>
                <w:color w:val="F6EBDD"/>
                <w:sz w:val="15"/>
                <w:szCs w:val="15"/>
              </w:rPr>
              <w:t xml:space="preserve">Preços sujeitos a alteração e reservas sujeitas a disponibilidade</w:t>
            </w:r>
          </w:p>
        </w:tc>
      </w:tr>
    </w:tbl>
    <w:p>
      <w:pPr>
        <w:keepNext/>
        <w:pBdr>
          <w:bottom w:val="single" w:color="C8902E" w:sz="6" w:space="2"/>
        </w:pBdr>
        <w:spacing w:after="60" w:before="140" w:line="264" w:lineRule="auto"/>
      </w:pPr>
      <w:r>
        <w:rPr>
          <w:rFonts w:ascii="Calibri" w:cs="Calibri" w:eastAsia="Calibri" w:hAnsi="Calibri"/>
          <w:b/>
          <w:bCs/>
          <w:color w:val="A0471F"/>
          <w:spacing w:val="20"/>
          <w:sz w:val="20"/>
          <w:szCs w:val="20"/>
        </w:rPr>
        <w:t xml:space="preserve">O PACOTE INCLUI</w:t>
      </w:r>
    </w:p>
    <w:p>
      <w:pPr>
        <w:pStyle w:val="ListParagraph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3 noites em Madri, 1 em Córdoba, 2 em Sevilha, 4 na Costa do Sol, 2 em Fez, 1 em Marrakech, 1 em Casablanca e 1 em Granada, com café da manhã</w:t>
      </w:r>
    </w:p>
    <w:p>
      <w:pPr>
        <w:pStyle w:val="ListParagraph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Visitas em Madri, Toledo, Córdoba, Sevilha, Rabat, Casablanca, Marrakech, Fez e Granada</w:t>
      </w:r>
    </w:p>
    <w:p>
      <w:pPr>
        <w:pStyle w:val="ListParagraph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Guia acompanhante durante o circuito</w:t>
      </w:r>
    </w:p>
    <w:p>
      <w:pPr>
        <w:pStyle w:val="ListParagraph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1 almoço e 3 jantares</w:t>
      </w:r>
    </w:p>
    <w:p>
      <w:pPr>
        <w:pStyle w:val="ListParagraph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Entradas mencionadas no roteiro</w:t>
      </w:r>
    </w:p>
    <w:p>
      <w:pPr>
        <w:pStyle w:val="ListParagraph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Traslados de chegada e saída</w:t>
      </w:r>
    </w:p>
    <w:p>
      <w:pPr>
        <w:keepNext/>
        <w:pBdr>
          <w:bottom w:val="single" w:color="C8902E" w:sz="6" w:space="2"/>
        </w:pBdr>
        <w:spacing w:after="60" w:before="140" w:line="264" w:lineRule="auto"/>
      </w:pPr>
      <w:r>
        <w:rPr>
          <w:rFonts w:ascii="Calibri" w:cs="Calibri" w:eastAsia="Calibri" w:hAnsi="Calibri"/>
          <w:b/>
          <w:bCs/>
          <w:color w:val="A0471F"/>
          <w:spacing w:val="20"/>
          <w:sz w:val="20"/>
          <w:szCs w:val="20"/>
        </w:rPr>
        <w:t xml:space="preserve">HOTÉIS PREVISTOS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373"/>
        <w:gridCol w:w="1500"/>
        <w:gridCol w:w="3373"/>
      </w:tblGrid>
      <w:tr>
        <w:trPr>
          <w:cantSplit/>
        </w:trPr>
        <w:tc>
          <w:tcPr>
            <w:tcW w:type="dxa" w:w="1500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Madri</w:t>
            </w:r>
          </w:p>
        </w:tc>
        <w:tc>
          <w:tcPr>
            <w:tcW w:type="dxa" w:w="33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Aloft Madrid Gran Via ou similar</w:t>
            </w:r>
          </w:p>
        </w:tc>
        <w:tc>
          <w:tcPr>
            <w:tcW w:type="dxa" w:w="1500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Córdoba</w:t>
            </w:r>
          </w:p>
        </w:tc>
        <w:tc>
          <w:tcPr>
            <w:tcW w:type="dxa" w:w="33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Secotel Córdoba Medina Azahara ou similar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Sevilha</w:t>
            </w:r>
          </w:p>
        </w:tc>
        <w:tc>
          <w:tcPr>
            <w:tcW w:type="dxa" w:w="33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Catalonia Santa Justa ou similar</w:t>
            </w:r>
          </w:p>
        </w:tc>
        <w:tc>
          <w:tcPr>
            <w:tcW w:type="dxa" w:w="1500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Costa do Sol</w:t>
            </w:r>
          </w:p>
        </w:tc>
        <w:tc>
          <w:tcPr>
            <w:tcW w:type="dxa" w:w="33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Sol Torremolinos ou similar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Fez</w:t>
            </w:r>
          </w:p>
        </w:tc>
        <w:tc>
          <w:tcPr>
            <w:tcW w:type="dxa" w:w="33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Menzeh Zalagh ou similar</w:t>
            </w:r>
          </w:p>
        </w:tc>
        <w:tc>
          <w:tcPr>
            <w:tcW w:type="dxa" w:w="1500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Marrakech</w:t>
            </w:r>
          </w:p>
        </w:tc>
        <w:tc>
          <w:tcPr>
            <w:tcW w:type="dxa" w:w="33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El Andalous ou similar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Casablanca</w:t>
            </w:r>
          </w:p>
        </w:tc>
        <w:tc>
          <w:tcPr>
            <w:tcW w:type="dxa" w:w="33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Kenzi Basma ou similar</w:t>
            </w:r>
          </w:p>
        </w:tc>
        <w:tc>
          <w:tcPr>
            <w:tcW w:type="dxa" w:w="1500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Granada</w:t>
            </w:r>
          </w:p>
        </w:tc>
        <w:tc>
          <w:tcPr>
            <w:tcW w:type="dxa" w:w="33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Alixares ou similar</w:t>
            </w:r>
          </w:p>
        </w:tc>
      </w:tr>
    </w:tbl>
    <w:p>
      <w:pPr>
        <w:keepNext/>
        <w:pBdr>
          <w:bottom w:val="single" w:color="C8902E" w:sz="6" w:space="2"/>
        </w:pBdr>
        <w:spacing w:after="60" w:before="140" w:line="264" w:lineRule="auto"/>
      </w:pPr>
      <w:r>
        <w:rPr>
          <w:rFonts w:ascii="Calibri" w:cs="Calibri" w:eastAsia="Calibri" w:hAnsi="Calibri"/>
          <w:b/>
          <w:bCs/>
          <w:color w:val="A0471F"/>
          <w:spacing w:val="20"/>
          <w:sz w:val="20"/>
          <w:szCs w:val="20"/>
        </w:rPr>
        <w:t xml:space="preserve">ROTEIRO DIA A DIA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1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MADRI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Chegada a Madri. Traslado ao hotel. Restante do dia livre para atividades pessoais.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2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MADRI – TOLEDO – MADRI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Passeio panorâmico pela cidade: a pé pelo centro histórico, com a Plaza Mayor, a Puerta del Sol e a Plaza de la Villa; depois, de ônibus, pelos monumentos mais importantes de Madri — a ponte mais antiga da cidade, com vistas do Palácio Real, a Gran Vía, a Praça de Touros de Las Ventas, a Fonte de Cibeles, a Puerta de Alcalá e o estádio Santiago Bernabéu. No retorno, a Rua Serrano e a Estação de Atocha, encerrando na Plaza de Oriente, em frente ao Palácio Real. Tempo livre e saída, no horário combinado, rumo a Toledo, Patrimônio Mundial da Humanidade desde 1986 e encontro das culturas árabe, judaica e cristã. Passeio a pé pelas ruelas de paralelepípedos até a Catedral, construída no século XIII sobre os vestígios de uma antiga mesquita e uma das mais importantes catedrais góticas da Espanha. Visita ao interior e à Sacristia, que abriga quinze obras de El Greco. Tempo livre e retorno a Madri.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3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MADRI – MÉRIDA – CÓRDOBA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Saída rumo à Estremadura, terra natal de diversos descobridores do Novo Mundo. Chegada a Mérida, capital da região e Patrimônio da Humanidade, com ruínas romanas bem preservadas: o teatro, o anfiteatro e a ponte romana. Tempo livre e continuação até Córdoba, antiga capital do Califado.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4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CÓRDOBA – SEVILHA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Visita à impressionante Mesquita-Catedral e passeio pelas ruas estreitas do Bairro Judeu. Em seguida, continuação para Sevilha. Hospedagem.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5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SEVILHA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Pela manhã, visita monumental e panorâmica da cidade, com entrada na Catedral, a segunda maior do mundo católico depois da Basílica de São Pedro, em Roma. Passeio pelo típico Bairro de Santa Cruz, cenário natural de "Carmen" e do mito de "Don Juan", pelo Parque de María Luisa e pela Plaza de España. Tarde livre para descobrir os sabores desta cidade vibrante e cheia de luz. Opcional: espetáculo de flamenco.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6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SEVILHA – RONDA – COSTA DO SOL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Saída pela rota dos "Pueblos Blancos" rumo a Ronda, cidade de origem celta com vistas maravilhosas do vale e da montanha. Tempo livre. À tarde, continuação para a Costa do Sol, uma das mais importantes áreas turísticas internacionais.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7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COSTA DO SOL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Dia livre para aproveitar as praias da Costa do Sol e arredores ou realizar excursões opcionais.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8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COSTA DO SOL – TARIFA/ALGECIRAS – TÂNGER – FEZ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Saída pela rota turística da Costa do Sol até Algeciras ou Tarifa. Embarque no ferry para a travessia do Estreito de Gibraltar rumo à África. Chegada a Tânger, trâmites alfandegários e continuação de ônibus para Fez. Jantar incluído e pernoite.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9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FEZ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Visita à mais antiga e monumental das Cidades Imperiais: os 7 portões do Palácio Real, o Bairro Judeu (Mellah), o portão Bab Bou Jeloud e passeio pela grandiosa Medina, Patrimônio da Humanidade. Tarde livre. Jantar incluído e pernoite.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10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FEZ – RABAT – CASABLANCA – MARRAKECH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 e saída cedo para Rabat, a capital do país, com visita ao exterior do Palácio Real, ao Mausoléu de Mohammed V e à Torre Hassan. Continuação para Casablanca: Praça das Nações Unidas, Boulevard de la Corniche e exterior da Mesquita Hassan II. Almoço livre no percurso e continuação para Marrakech. Opcional: jantar típico "Fantasia Chez Ali" em tendas caidais.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11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MARRAKECH – CASABLANCA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Visita à "Pérola do Sul": Jardins da Menara, exterior do minarete da Koutoubia — irmão gêmeo da Giralda de Sevilha —, Palácio da Bahia e a praça Jemaa el-Fna, porta de entrada para os souks e a medina, com visita às corporações de artesãos de madeira, cerâmica, couro e especiarias. Almoço incluído no hotel e partida para Casablanca. Jantar incluído e pernoite.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12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CASABLANCA – TÂNGER – TARIFA/ALGECIRAS – COSTA DO SOL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Saída para Tânger e embarque no ferry para retornar à Espanha atravessando o Estreito de Gibraltar. Continuação para a Costa do Sol.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13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COSTA DO SOL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Dia livre para aproveitar as praias da Costa do Sol e arredores ou realizar excursões opcionais.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14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COSTA DO SOL – GRANADA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Saída para Granada, último reduto do Reino Nasrida até 1492. Visita ao mundialmente famoso complexo da Alhambra e aos Jardins do Generalife, cujas fontes, jardins e pátios inspiraram Washington Irving em seus "Contos da Alhambra". Opcional à noite: espetáculo de Zambra Flamenca.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15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GRANADA – MADRI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Partida para o norte, em direção a Madri. Chegada e pernoite.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16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MADRI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Traslado ao aeroporto.</w:t>
      </w:r>
    </w:p>
    <w:p>
      <w:pPr>
        <w:keepNext/>
        <w:pBdr>
          <w:bottom w:val="single" w:color="C8902E" w:sz="6" w:space="2"/>
        </w:pBdr>
        <w:spacing w:after="60" w:before="140" w:line="264" w:lineRule="auto"/>
      </w:pPr>
      <w:r>
        <w:rPr>
          <w:rFonts w:ascii="Calibri" w:cs="Calibri" w:eastAsia="Calibri" w:hAnsi="Calibri"/>
          <w:b/>
          <w:bCs/>
          <w:color w:val="A0471F"/>
          <w:spacing w:val="20"/>
          <w:sz w:val="20"/>
          <w:szCs w:val="20"/>
        </w:rPr>
        <w:t xml:space="preserve">NÃO INCLUI</w:t>
      </w:r>
    </w:p>
    <w:p>
      <w:pPr>
        <w:pStyle w:val="ListParagraph"/>
        <w:keepNext w:val="false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Passagens aéreas e taxas de embarque</w:t>
      </w:r>
    </w:p>
    <w:p>
      <w:pPr>
        <w:pStyle w:val="ListParagraph"/>
        <w:keepNext w:val="false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Possíveis taxas de turismo a serem pagas localmente</w:t>
      </w:r>
    </w:p>
    <w:p>
      <w:pPr>
        <w:pStyle w:val="ListParagraph"/>
        <w:keepNext w:val="false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Passeios opcionais e/ou sugeridos</w:t>
      </w:r>
    </w:p>
    <w:p>
      <w:pPr>
        <w:pStyle w:val="ListParagraph"/>
        <w:keepNext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Despesas pessoais (documentação, gratificações, excesso de bagagem, telefonemas, lavanderia, refeições e bebidas adicionais) e tudo o que não estiver explicitamente mencionado como incluso</w:t>
      </w:r>
    </w:p>
    <w:p>
      <w:pPr>
        <w:spacing w:after="0" w:before="60" w:line="264" w:lineRule="auto"/>
      </w:pPr>
      <w:r>
        <w:rPr>
          <w:rFonts w:ascii="Calibri" w:cs="Calibri" w:eastAsia="Calibri" w:hAnsi="Calibri"/>
          <w:i/>
          <w:iCs/>
          <w:color w:val="6B5A4A"/>
          <w:sz w:val="17"/>
          <w:szCs w:val="17"/>
        </w:rPr>
        <w:t xml:space="preserve">Recomendamos a contratação de seguro de assistência em viagem e chip com plano de dados para o smartphone.</w:t>
      </w:r>
    </w:p>
    <w:sectPr>
      <w:footerReference w:type="default" r:id="rId7"/>
      <w:pgSz w:w="11906" w:h="16838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A8A7A"/>
        <w:sz w:val="15"/>
        <w:szCs w:val="15"/>
      </w:rPr>
      <w:t xml:space="preserve">Madri, Andaluzia &amp; Marrocos com Costa do Sol • 2027  •  </w:t>
    </w:r>
    <w:r>
      <w:rPr>
        <w:rFonts w:ascii="Calibri" w:cs="Calibri" w:eastAsia="Calibri" w:hAnsi="Calibri"/>
        <w:color w:val="9A8A7A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  <w:rPr>
        <w:color w:val="C8902E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Georgia" w:cs="Georgia" w:eastAsia="Georgia" w:hAnsi="Georgia"/>
      <w:b/>
      <w:bCs/>
      <w:color w:val="3B2416"/>
      <w:sz w:val="38"/>
      <w:szCs w:val="3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d14993913e7060a0610cf2f14d497c2f88fd562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2026-10-16T15:21:34.116Z</dcterms:created>
  <dcterms:modified xsi:type="dcterms:W3CDTF">2026-10-16T15:21:34.117Z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