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</w:pPr>
      <w:r>
        <w:drawing>
          <wp:inline distT="0" distB="0" distL="0" distR="0">
            <wp:extent cx="6115050" cy="3057525"/>
            <wp:effectExtent t="0" r="0" b="0" l="0"/>
            <wp:docPr id="1" name="r01" descr="Jordânia: Romanos e Nabateus" title="Jordânia: Romanos e Nabate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3057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60"/>
      </w:pPr>
      <w:r>
        <w:rPr>
          <w:rFonts w:ascii="Georgia" w:cs="Georgia" w:eastAsia="Georgia" w:hAnsi="Georgia"/>
          <w:b/>
          <w:bCs/>
          <w:color w:val="8A3B1C"/>
          <w:sz w:val="46"/>
          <w:szCs w:val="46"/>
        </w:rPr>
        <w:t xml:space="preserve">Jordânia: Romanos e Nabateus</w:t>
      </w:r>
    </w:p>
    <w:p>
      <w:pPr>
        <w:spacing w:after="160"/>
      </w:pPr>
      <w:r>
        <w:rPr>
          <w:rFonts w:ascii="Calibri" w:cs="Calibri" w:eastAsia="Calibri" w:hAnsi="Calibri"/>
          <w:b/>
          <w:bCs/>
          <w:color w:val="C27A35"/>
          <w:sz w:val="21"/>
          <w:szCs w:val="21"/>
        </w:rPr>
        <w:t xml:space="preserve">5 dias / 4 noites · Guia em espanhol</w:t>
      </w:r>
    </w:p>
    <w:p>
      <w:pPr>
        <w:spacing w:after="200" w:line="288"/>
      </w:pPr>
      <w:r>
        <w:rPr>
          <w:rFonts w:ascii="Calibri" w:cs="Calibri" w:eastAsia="Calibri" w:hAnsi="Calibri"/>
          <w:i/>
          <w:iCs/>
          <w:color w:val="6E625A"/>
          <w:sz w:val="21"/>
          <w:szCs w:val="21"/>
        </w:rPr>
        <w:t xml:space="preserve">Um roteiro compacto pelos dois grandes legados da Jordânia: as cidades romanas da Decápolis, com Jerash à frente, e Petra, a capital esculpida na rocha pelos nabateus.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900"/>
        <w:gridCol w:w="7738"/>
      </w:tblGrid>
      <w:tr>
        <w:trPr>
          <w:cantSplit/>
        </w:trPr>
        <w:tc>
          <w:tcPr>
            <w:tcW w:type="dxa" w:w="1900"/>
            <w:tcBorders>
              <w:top w:val="single" w:color="FFFFFF" w:sz="4"/>
              <w:left w:val="none" w:color="FFFFFF" w:sz="0"/>
              <w:bottom w:val="single" w:color="FFFFFF" w:sz="4"/>
              <w:right w:val="none" w:color="FFFFFF" w:sz="0"/>
            </w:tcBorders>
            <w:shd w:fill="F7EDE2" w:color="auto" w:val="clear"/>
            <w:tcMar>
              <w:top w:type="dxa" w:w="60"/>
              <w:left w:type="dxa" w:w="14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8A3B1C"/>
                <w:sz w:val="19"/>
                <w:szCs w:val="19"/>
              </w:rPr>
              <w:t xml:space="preserve">Duração</w:t>
            </w:r>
          </w:p>
        </w:tc>
        <w:tc>
          <w:tcPr>
            <w:tcW w:type="dxa" w:w="7738"/>
            <w:tcBorders>
              <w:top w:val="single" w:color="FFFFFF" w:sz="4"/>
              <w:left w:val="none" w:color="FFFFFF" w:sz="0"/>
              <w:bottom w:val="single" w:color="FFFFFF" w:sz="4"/>
              <w:right w:val="none" w:color="FFFFFF" w:sz="0"/>
            </w:tcBorders>
            <w:shd w:fill="F7EDE2" w:color="auto" w:val="clear"/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2B2420"/>
                <w:sz w:val="19"/>
                <w:szCs w:val="19"/>
              </w:rPr>
              <w:t xml:space="preserve">5 dias / 4 noites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FFFFFF" w:sz="4"/>
              <w:left w:val="none" w:color="FFFFFF" w:sz="0"/>
              <w:bottom w:val="single" w:color="FFFFFF" w:sz="4"/>
              <w:right w:val="none" w:color="FFFFFF" w:sz="0"/>
            </w:tcBorders>
            <w:shd w:fill="F7EDE2" w:color="auto" w:val="clear"/>
            <w:tcMar>
              <w:top w:type="dxa" w:w="60"/>
              <w:left w:type="dxa" w:w="14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8A3B1C"/>
                <w:sz w:val="19"/>
                <w:szCs w:val="19"/>
              </w:rPr>
              <w:t xml:space="preserve">Saídas</w:t>
            </w:r>
          </w:p>
        </w:tc>
        <w:tc>
          <w:tcPr>
            <w:tcW w:type="dxa" w:w="7738"/>
            <w:tcBorders>
              <w:top w:val="single" w:color="FFFFFF" w:sz="4"/>
              <w:left w:val="none" w:color="FFFFFF" w:sz="0"/>
              <w:bottom w:val="single" w:color="FFFFFF" w:sz="4"/>
              <w:right w:val="none" w:color="FFFFFF" w:sz="0"/>
            </w:tcBorders>
            <w:shd w:fill="F7EDE2" w:color="auto" w:val="clear"/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2B2420"/>
                <w:sz w:val="19"/>
                <w:szCs w:val="19"/>
              </w:rPr>
              <w:t xml:space="preserve">De 7 de novembro de 2026 a 30 de outubro de 2027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FFFFFF" w:sz="4"/>
              <w:left w:val="none" w:color="FFFFFF" w:sz="0"/>
              <w:bottom w:val="single" w:color="FFFFFF" w:sz="4"/>
              <w:right w:val="none" w:color="FFFFFF" w:sz="0"/>
            </w:tcBorders>
            <w:shd w:fill="F7EDE2" w:color="auto" w:val="clear"/>
            <w:tcMar>
              <w:top w:type="dxa" w:w="60"/>
              <w:left w:type="dxa" w:w="14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8A3B1C"/>
                <w:sz w:val="19"/>
                <w:szCs w:val="19"/>
              </w:rPr>
              <w:t xml:space="preserve">Destinos</w:t>
            </w:r>
          </w:p>
        </w:tc>
        <w:tc>
          <w:tcPr>
            <w:tcW w:type="dxa" w:w="7738"/>
            <w:tcBorders>
              <w:top w:val="single" w:color="FFFFFF" w:sz="4"/>
              <w:left w:val="none" w:color="FFFFFF" w:sz="0"/>
              <w:bottom w:val="single" w:color="FFFFFF" w:sz="4"/>
              <w:right w:val="none" w:color="FFFFFF" w:sz="0"/>
            </w:tcBorders>
            <w:shd w:fill="F7EDE2" w:color="auto" w:val="clear"/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2B2420"/>
                <w:sz w:val="19"/>
                <w:szCs w:val="19"/>
              </w:rPr>
              <w:t xml:space="preserve">Amã, Ajlun, Jerash, Madaba, Monte Nebo, Petra e Al Beida (Pequena Petra)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FFFFFF" w:sz="4"/>
              <w:left w:val="none" w:color="FFFFFF" w:sz="0"/>
              <w:bottom w:val="single" w:color="FFFFFF" w:sz="4"/>
              <w:right w:val="none" w:color="FFFFFF" w:sz="0"/>
            </w:tcBorders>
            <w:shd w:fill="F7EDE2" w:color="auto" w:val="clear"/>
            <w:tcMar>
              <w:top w:type="dxa" w:w="60"/>
              <w:left w:type="dxa" w:w="14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8A3B1C"/>
                <w:sz w:val="19"/>
                <w:szCs w:val="19"/>
              </w:rPr>
              <w:t xml:space="preserve">Hospedagem</w:t>
            </w:r>
          </w:p>
        </w:tc>
        <w:tc>
          <w:tcPr>
            <w:tcW w:type="dxa" w:w="7738"/>
            <w:tcBorders>
              <w:top w:val="single" w:color="FFFFFF" w:sz="4"/>
              <w:left w:val="none" w:color="FFFFFF" w:sz="0"/>
              <w:bottom w:val="single" w:color="FFFFFF" w:sz="4"/>
              <w:right w:val="none" w:color="FFFFFF" w:sz="0"/>
            </w:tcBorders>
            <w:shd w:fill="F7EDE2" w:color="auto" w:val="clear"/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2B2420"/>
                <w:sz w:val="19"/>
                <w:szCs w:val="19"/>
              </w:rPr>
              <w:t xml:space="preserve">3 noites em Amã e 1 noite em Petra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FFFFFF" w:sz="4"/>
              <w:left w:val="none" w:color="FFFFFF" w:sz="0"/>
              <w:bottom w:val="single" w:color="FFFFFF" w:sz="4"/>
              <w:right w:val="none" w:color="FFFFFF" w:sz="0"/>
            </w:tcBorders>
            <w:shd w:fill="F7EDE2" w:color="auto" w:val="clear"/>
            <w:tcMar>
              <w:top w:type="dxa" w:w="60"/>
              <w:left w:type="dxa" w:w="14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8A3B1C"/>
                <w:sz w:val="19"/>
                <w:szCs w:val="19"/>
              </w:rPr>
              <w:t xml:space="preserve">Guia</w:t>
            </w:r>
          </w:p>
        </w:tc>
        <w:tc>
          <w:tcPr>
            <w:tcW w:type="dxa" w:w="7738"/>
            <w:tcBorders>
              <w:top w:val="single" w:color="FFFFFF" w:sz="4"/>
              <w:left w:val="none" w:color="FFFFFF" w:sz="0"/>
              <w:bottom w:val="single" w:color="FFFFFF" w:sz="4"/>
              <w:right w:val="none" w:color="FFFFFF" w:sz="0"/>
            </w:tcBorders>
            <w:shd w:fill="F7EDE2" w:color="auto" w:val="clear"/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2B2420"/>
                <w:sz w:val="19"/>
                <w:szCs w:val="19"/>
              </w:rPr>
              <w:t xml:space="preserve">Em espanhol</w:t>
            </w:r>
          </w:p>
        </w:tc>
      </w:tr>
    </w:tbl>
    <w:p>
      <w:pPr>
        <w:keepNext/>
        <w:pBdr>
          <w:bottom w:val="single" w:color="C27A35" w:sz="8" w:space="4"/>
        </w:pBdr>
        <w:spacing w:after="120" w:before="300"/>
      </w:pPr>
      <w:r>
        <w:rPr>
          <w:rFonts w:ascii="Georgia" w:cs="Georgia" w:eastAsia="Georgia" w:hAnsi="Georgia"/>
          <w:b/>
          <w:bCs/>
          <w:color w:val="8A3B1C"/>
          <w:spacing w:val="20"/>
          <w:sz w:val="24"/>
          <w:szCs w:val="24"/>
        </w:rPr>
        <w:t xml:space="preserve">ROTEIRO DIA A DIA</w:t>
      </w:r>
    </w:p>
    <w:p>
      <w:pPr>
        <w:keepNext/>
        <w:spacing w:after="40" w:before="140"/>
      </w:pPr>
      <w:r>
        <w:rPr>
          <w:rFonts w:ascii="Georgia" w:cs="Georgia" w:eastAsia="Georgia" w:hAnsi="Georgia"/>
          <w:b/>
          <w:bCs/>
          <w:color w:val="C27A35"/>
          <w:sz w:val="22"/>
          <w:szCs w:val="22"/>
        </w:rPr>
        <w:t xml:space="preserve">Dia 1  </w:t>
      </w:r>
      <w:r>
        <w:rPr>
          <w:rFonts w:ascii="Georgia" w:cs="Georgia" w:eastAsia="Georgia" w:hAnsi="Georgia"/>
          <w:b/>
          <w:bCs/>
          <w:color w:val="8A3B1C"/>
          <w:sz w:val="22"/>
          <w:szCs w:val="22"/>
        </w:rPr>
        <w:t xml:space="preserve">Brasil · Amã</w:t>
      </w:r>
    </w:p>
    <w:p>
      <w:pPr>
        <w:spacing w:after="80" w:line="276"/>
        <w:jc w:val="both"/>
      </w:pPr>
      <w:r>
        <w:rPr>
          <w:rFonts w:ascii="Calibri" w:cs="Calibri" w:eastAsia="Calibri" w:hAnsi="Calibri"/>
          <w:color w:val="2B2420"/>
          <w:sz w:val="20"/>
          <w:szCs w:val="20"/>
        </w:rPr>
        <w:t xml:space="preserve">Apresentação no aeroporto internacional e embarque com destino a Amã.</w:t>
      </w:r>
    </w:p>
    <w:p>
      <w:pPr>
        <w:keepNext/>
        <w:spacing w:after="40" w:before="140"/>
      </w:pPr>
      <w:r>
        <w:rPr>
          <w:rFonts w:ascii="Georgia" w:cs="Georgia" w:eastAsia="Georgia" w:hAnsi="Georgia"/>
          <w:b/>
          <w:bCs/>
          <w:color w:val="C27A35"/>
          <w:sz w:val="22"/>
          <w:szCs w:val="22"/>
        </w:rPr>
        <w:t xml:space="preserve">Dia 2  </w:t>
      </w:r>
      <w:r>
        <w:rPr>
          <w:rFonts w:ascii="Georgia" w:cs="Georgia" w:eastAsia="Georgia" w:hAnsi="Georgia"/>
          <w:b/>
          <w:bCs/>
          <w:color w:val="8A3B1C"/>
          <w:sz w:val="22"/>
          <w:szCs w:val="22"/>
        </w:rPr>
        <w:t xml:space="preserve">Amã</w:t>
      </w:r>
    </w:p>
    <w:p>
      <w:pPr>
        <w:spacing w:after="80" w:line="276"/>
        <w:jc w:val="both"/>
      </w:pPr>
      <w:r>
        <w:rPr>
          <w:rFonts w:ascii="Calibri" w:cs="Calibri" w:eastAsia="Calibri" w:hAnsi="Calibri"/>
          <w:color w:val="2B2420"/>
          <w:sz w:val="20"/>
          <w:szCs w:val="20"/>
        </w:rPr>
        <w:t xml:space="preserve">Chegada, recepção e traslado ao hotel. Apartamentos disponíveis a partir das 16h. Hospedagem.</w:t>
      </w:r>
    </w:p>
    <w:p>
      <w:pPr>
        <w:keepNext/>
        <w:spacing w:after="40" w:before="140"/>
      </w:pPr>
      <w:r>
        <w:rPr>
          <w:rFonts w:ascii="Georgia" w:cs="Georgia" w:eastAsia="Georgia" w:hAnsi="Georgia"/>
          <w:b/>
          <w:bCs/>
          <w:color w:val="C27A35"/>
          <w:sz w:val="22"/>
          <w:szCs w:val="22"/>
        </w:rPr>
        <w:t xml:space="preserve">Dia 3  </w:t>
      </w:r>
      <w:r>
        <w:rPr>
          <w:rFonts w:ascii="Georgia" w:cs="Georgia" w:eastAsia="Georgia" w:hAnsi="Georgia"/>
          <w:b/>
          <w:bCs/>
          <w:color w:val="8A3B1C"/>
          <w:sz w:val="22"/>
          <w:szCs w:val="22"/>
        </w:rPr>
        <w:t xml:space="preserve">Amã · Ajlun · Jerash</w:t>
      </w:r>
    </w:p>
    <w:p>
      <w:pPr>
        <w:spacing w:after="80" w:line="276"/>
        <w:jc w:val="both"/>
      </w:pPr>
      <w:r>
        <w:rPr>
          <w:rFonts w:ascii="Calibri" w:cs="Calibri" w:eastAsia="Calibri" w:hAnsi="Calibri"/>
          <w:color w:val="2B2420"/>
          <w:sz w:val="20"/>
          <w:szCs w:val="20"/>
        </w:rPr>
        <w:t xml:space="preserve">Café da manhã e visita ao Castelo de Ajlun, fortaleza do período das Cruzadas construída em 1185 e reconstruída no século XIII pelos mamelucos, no alto de uma montanha com vista panorâmica da região. Em seguida, Jerash, uma das cidades da Decápolis, a cerca de 45 km ao norte de Amã (aproximadamente 1 hora de estrada): Arco do Triunfo, Praça Oval, Cardo, Colunata, Templo de Afrodite e o Teatro Romano, conhecido pela acústica. Retorno a Amã. Jantar e hospedagem.</w:t>
      </w:r>
    </w:p>
    <w:p>
      <w:pPr>
        <w:keepNext/>
        <w:spacing w:after="40" w:before="140"/>
      </w:pPr>
      <w:r>
        <w:rPr>
          <w:rFonts w:ascii="Georgia" w:cs="Georgia" w:eastAsia="Georgia" w:hAnsi="Georgia"/>
          <w:b/>
          <w:bCs/>
          <w:color w:val="C27A35"/>
          <w:sz w:val="22"/>
          <w:szCs w:val="22"/>
        </w:rPr>
        <w:t xml:space="preserve">Dia 4  </w:t>
      </w:r>
      <w:r>
        <w:rPr>
          <w:rFonts w:ascii="Georgia" w:cs="Georgia" w:eastAsia="Georgia" w:hAnsi="Georgia"/>
          <w:b/>
          <w:bCs/>
          <w:color w:val="8A3B1C"/>
          <w:sz w:val="22"/>
          <w:szCs w:val="22"/>
        </w:rPr>
        <w:t xml:space="preserve">Amã · Madaba · Monte Nebo · Petra</w:t>
      </w:r>
    </w:p>
    <w:p>
      <w:pPr>
        <w:spacing w:after="80" w:line="276"/>
        <w:jc w:val="both"/>
      </w:pPr>
      <w:r>
        <w:rPr>
          <w:rFonts w:ascii="Calibri" w:cs="Calibri" w:eastAsia="Calibri" w:hAnsi="Calibri"/>
          <w:color w:val="2B2420"/>
          <w:sz w:val="20"/>
          <w:szCs w:val="20"/>
        </w:rPr>
        <w:t xml:space="preserve">Café da manhã e passeio panorâmico por Amã. Em Madaba, visita à Igreja Ortodoxa de São Jorge, que guarda o primeiro mapa em mosaico da Palestina. Parada no Monte Nebo, com vista do Vale do Jordão e do Mar Morto, local associado ao fim da jornada de Moisés, de onde ele avistou a Terra Prometida. Traslado para Petra. Jantar e hospedagem.</w:t>
      </w:r>
    </w:p>
    <w:p>
      <w:pPr>
        <w:keepNext/>
        <w:spacing w:after="40" w:before="140"/>
      </w:pPr>
      <w:r>
        <w:rPr>
          <w:rFonts w:ascii="Georgia" w:cs="Georgia" w:eastAsia="Georgia" w:hAnsi="Georgia"/>
          <w:b/>
          <w:bCs/>
          <w:color w:val="C27A35"/>
          <w:sz w:val="22"/>
          <w:szCs w:val="22"/>
        </w:rPr>
        <w:t xml:space="preserve">Dia 5  </w:t>
      </w:r>
      <w:r>
        <w:rPr>
          <w:rFonts w:ascii="Georgia" w:cs="Georgia" w:eastAsia="Georgia" w:hAnsi="Georgia"/>
          <w:b/>
          <w:bCs/>
          <w:color w:val="8A3B1C"/>
          <w:sz w:val="22"/>
          <w:szCs w:val="22"/>
        </w:rPr>
        <w:t xml:space="preserve">Petra · Al Beida · Amã</w:t>
      </w:r>
    </w:p>
    <w:p>
      <w:pPr>
        <w:spacing w:after="80" w:line="276"/>
        <w:jc w:val="both"/>
      </w:pPr>
      <w:r>
        <w:rPr>
          <w:rFonts w:ascii="Calibri" w:cs="Calibri" w:eastAsia="Calibri" w:hAnsi="Calibri"/>
          <w:color w:val="2B2420"/>
          <w:sz w:val="20"/>
          <w:szCs w:val="20"/>
        </w:rPr>
        <w:t xml:space="preserve">Café da manhã e visita a Al Beida, a "Pequena Petra", antigo caravançarai. Depois, dia inteiro dedicado a Petra, a "cidade rosa", capital dos nabateus, com seus monumentos esculpidos na rocha: o Tesouro (Al Khazneh), os Túmulos Coloridos, os Túmulos Reais e o Mosteiro (Ad Deir). Retorno a Amã. Jantar e hospedagem.</w:t>
      </w:r>
    </w:p>
    <w:p>
      <w:pPr>
        <w:keepNext/>
        <w:spacing w:after="40" w:before="140"/>
      </w:pPr>
      <w:r>
        <w:rPr>
          <w:rFonts w:ascii="Georgia" w:cs="Georgia" w:eastAsia="Georgia" w:hAnsi="Georgia"/>
          <w:b/>
          <w:bCs/>
          <w:color w:val="C27A35"/>
          <w:sz w:val="22"/>
          <w:szCs w:val="22"/>
        </w:rPr>
        <w:t xml:space="preserve">Dia 6  </w:t>
      </w:r>
      <w:r>
        <w:rPr>
          <w:rFonts w:ascii="Georgia" w:cs="Georgia" w:eastAsia="Georgia" w:hAnsi="Georgia"/>
          <w:b/>
          <w:bCs/>
          <w:color w:val="8A3B1C"/>
          <w:sz w:val="22"/>
          <w:szCs w:val="22"/>
        </w:rPr>
        <w:t xml:space="preserve">Amã</w:t>
      </w:r>
    </w:p>
    <w:p>
      <w:pPr>
        <w:spacing w:after="80" w:line="276"/>
        <w:jc w:val="both"/>
      </w:pPr>
      <w:r>
        <w:rPr>
          <w:rFonts w:ascii="Calibri" w:cs="Calibri" w:eastAsia="Calibri" w:hAnsi="Calibri"/>
          <w:color w:val="2B2420"/>
          <w:sz w:val="20"/>
          <w:szCs w:val="20"/>
        </w:rPr>
        <w:t xml:space="preserve">Café da manhã. Apartamentos disponíveis até as 12h. Traslado ao aeroporto de Amã.</w:t>
      </w:r>
    </w:p>
    <w:p>
      <w:pPr>
        <w:keepNext/>
        <w:pBdr>
          <w:bottom w:val="single" w:color="C27A35" w:sz="8" w:space="4"/>
        </w:pBdr>
        <w:spacing w:after="120" w:before="300"/>
      </w:pPr>
      <w:r>
        <w:rPr>
          <w:rFonts w:ascii="Georgia" w:cs="Georgia" w:eastAsia="Georgia" w:hAnsi="Georgia"/>
          <w:b/>
          <w:bCs/>
          <w:color w:val="8A3B1C"/>
          <w:spacing w:val="20"/>
          <w:sz w:val="24"/>
          <w:szCs w:val="24"/>
        </w:rPr>
        <w:t xml:space="preserve">HOTÉIS PREVISTOS OU SIMILARES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900"/>
        <w:gridCol w:w="3869"/>
        <w:gridCol w:w="3869"/>
      </w:tblGrid>
      <w:tr>
        <w:trPr>
          <w:tblHeader/>
        </w:trPr>
        <w:tc>
          <w:tcPr>
            <w:tcW w:type="dxa" w:w="1900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shd w:fill="8A3B1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Cidade</w:t>
            </w:r>
          </w:p>
        </w:tc>
        <w:tc>
          <w:tcPr>
            <w:tcW w:type="dxa" w:w="3869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shd w:fill="8A3B1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Categoria Primeira</w:t>
            </w:r>
          </w:p>
        </w:tc>
        <w:tc>
          <w:tcPr>
            <w:tcW w:type="dxa" w:w="3869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shd w:fill="8A3B1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Categoria Superior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B2420"/>
                <w:sz w:val="19"/>
                <w:szCs w:val="19"/>
              </w:rPr>
              <w:t xml:space="preserve">Amã</w:t>
            </w:r>
          </w:p>
        </w:tc>
        <w:tc>
          <w:tcPr>
            <w:tcW w:type="dxa" w:w="3869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B2420"/>
                <w:sz w:val="19"/>
                <w:szCs w:val="19"/>
              </w:rPr>
              <w:t xml:space="preserve">Mena Tyche, Sulaf Luxury ou Golden Tulip</w:t>
            </w:r>
          </w:p>
        </w:tc>
        <w:tc>
          <w:tcPr>
            <w:tcW w:type="dxa" w:w="3869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B2420"/>
                <w:sz w:val="19"/>
                <w:szCs w:val="19"/>
              </w:rPr>
              <w:t xml:space="preserve">Landmark by Hilton ou Rotana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B2420"/>
                <w:sz w:val="19"/>
                <w:szCs w:val="19"/>
              </w:rPr>
              <w:t xml:space="preserve">Petra</w:t>
            </w:r>
          </w:p>
        </w:tc>
        <w:tc>
          <w:tcPr>
            <w:tcW w:type="dxa" w:w="3869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B2420"/>
                <w:sz w:val="19"/>
                <w:szCs w:val="19"/>
              </w:rPr>
              <w:t xml:space="preserve">P Quatro, Petra Elite ou Petra Nights</w:t>
            </w:r>
          </w:p>
        </w:tc>
        <w:tc>
          <w:tcPr>
            <w:tcW w:type="dxa" w:w="3869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B2420"/>
                <w:sz w:val="19"/>
                <w:szCs w:val="19"/>
              </w:rPr>
              <w:t xml:space="preserve">Grand Mercure, Petra Hyatt Zaman ou Petra Moon Luxury</w:t>
            </w:r>
          </w:p>
        </w:tc>
      </w:tr>
    </w:tbl>
    <w:p>
      <w:pPr>
        <w:keepNext/>
        <w:pBdr>
          <w:bottom w:val="single" w:color="C27A35" w:sz="8" w:space="4"/>
        </w:pBdr>
        <w:spacing w:after="120" w:before="300"/>
      </w:pPr>
      <w:r>
        <w:rPr>
          <w:rFonts w:ascii="Georgia" w:cs="Georgia" w:eastAsia="Georgia" w:hAnsi="Georgia"/>
          <w:b/>
          <w:bCs/>
          <w:color w:val="8A3B1C"/>
          <w:spacing w:val="20"/>
          <w:sz w:val="24"/>
          <w:szCs w:val="24"/>
        </w:rPr>
        <w:t xml:space="preserve">O QUE INCLUI</w:t>
      </w:r>
    </w:p>
    <w:p>
      <w:pPr>
        <w:pStyle w:val="ListParagraph"/>
        <w:numPr>
          <w:ilvl w:val="0"/>
          <w:numId w:val="2"/>
        </w:numPr>
        <w:spacing w:after="50" w:line="264"/>
      </w:pPr>
      <w:r>
        <w:rPr>
          <w:rFonts w:ascii="Calibri" w:cs="Calibri" w:eastAsia="Calibri" w:hAnsi="Calibri"/>
          <w:color w:val="2B2420"/>
          <w:sz w:val="19"/>
          <w:szCs w:val="19"/>
        </w:rPr>
        <w:t xml:space="preserve">4 noites de hospedagem (3 em Amã e 1 em Petra)</w:t>
      </w:r>
    </w:p>
    <w:p>
      <w:pPr>
        <w:pStyle w:val="ListParagraph"/>
        <w:numPr>
          <w:ilvl w:val="0"/>
          <w:numId w:val="2"/>
        </w:numPr>
        <w:spacing w:after="50" w:line="264"/>
      </w:pPr>
      <w:r>
        <w:rPr>
          <w:rFonts w:ascii="Calibri" w:cs="Calibri" w:eastAsia="Calibri" w:hAnsi="Calibri"/>
          <w:color w:val="2B2420"/>
          <w:sz w:val="19"/>
          <w:szCs w:val="19"/>
        </w:rPr>
        <w:t xml:space="preserve">Café da manhã diário</w:t>
      </w:r>
    </w:p>
    <w:p>
      <w:pPr>
        <w:pStyle w:val="ListParagraph"/>
        <w:numPr>
          <w:ilvl w:val="0"/>
          <w:numId w:val="2"/>
        </w:numPr>
        <w:spacing w:after="50" w:line="264"/>
      </w:pPr>
      <w:r>
        <w:rPr>
          <w:rFonts w:ascii="Calibri" w:cs="Calibri" w:eastAsia="Calibri" w:hAnsi="Calibri"/>
          <w:color w:val="2B2420"/>
          <w:sz w:val="19"/>
          <w:szCs w:val="19"/>
        </w:rPr>
        <w:t xml:space="preserve">3 jantares (sem bebidas)</w:t>
      </w:r>
    </w:p>
    <w:p>
      <w:pPr>
        <w:pStyle w:val="ListParagraph"/>
        <w:numPr>
          <w:ilvl w:val="0"/>
          <w:numId w:val="2"/>
        </w:numPr>
        <w:spacing w:after="50" w:line="264"/>
      </w:pPr>
      <w:r>
        <w:rPr>
          <w:rFonts w:ascii="Calibri" w:cs="Calibri" w:eastAsia="Calibri" w:hAnsi="Calibri"/>
          <w:color w:val="2B2420"/>
          <w:sz w:val="19"/>
          <w:szCs w:val="19"/>
        </w:rPr>
        <w:t xml:space="preserve">Visitas e passeios do itinerário com guia em espanhol</w:t>
      </w:r>
    </w:p>
    <w:p>
      <w:pPr>
        <w:pStyle w:val="ListParagraph"/>
        <w:numPr>
          <w:ilvl w:val="0"/>
          <w:numId w:val="2"/>
        </w:numPr>
        <w:spacing w:after="50" w:line="264"/>
      </w:pPr>
      <w:r>
        <w:rPr>
          <w:rFonts w:ascii="Calibri" w:cs="Calibri" w:eastAsia="Calibri" w:hAnsi="Calibri"/>
          <w:color w:val="2B2420"/>
          <w:sz w:val="19"/>
          <w:szCs w:val="19"/>
        </w:rPr>
        <w:t xml:space="preserve">Traslados de chegada e saída em Amã</w:t>
      </w:r>
    </w:p>
    <w:p>
      <w:pPr>
        <w:pStyle w:val="ListParagraph"/>
        <w:numPr>
          <w:ilvl w:val="0"/>
          <w:numId w:val="2"/>
        </w:numPr>
        <w:spacing w:after="50" w:line="264"/>
      </w:pPr>
      <w:r>
        <w:rPr>
          <w:rFonts w:ascii="Calibri" w:cs="Calibri" w:eastAsia="Calibri" w:hAnsi="Calibri"/>
          <w:color w:val="2B2420"/>
          <w:sz w:val="19"/>
          <w:szCs w:val="19"/>
        </w:rPr>
        <w:t xml:space="preserve">Seguro viagem e cancelamento</w:t>
      </w:r>
    </w:p>
    <w:p>
      <w:pPr>
        <w:keepNext/>
        <w:pBdr>
          <w:bottom w:val="single" w:color="C27A35" w:sz="8" w:space="4"/>
        </w:pBdr>
        <w:spacing w:after="120" w:before="300"/>
      </w:pPr>
      <w:r>
        <w:rPr>
          <w:rFonts w:ascii="Georgia" w:cs="Georgia" w:eastAsia="Georgia" w:hAnsi="Georgia"/>
          <w:b/>
          <w:bCs/>
          <w:color w:val="8A3B1C"/>
          <w:spacing w:val="20"/>
          <w:sz w:val="24"/>
          <w:szCs w:val="24"/>
        </w:rPr>
        <w:t xml:space="preserve">O QUE NÃO INCLUI</w:t>
      </w:r>
    </w:p>
    <w:p>
      <w:pPr>
        <w:pStyle w:val="ListParagraph"/>
        <w:numPr>
          <w:ilvl w:val="0"/>
          <w:numId w:val="3"/>
        </w:numPr>
        <w:spacing w:after="50" w:line="264"/>
      </w:pPr>
      <w:r>
        <w:rPr>
          <w:rFonts w:ascii="Calibri" w:cs="Calibri" w:eastAsia="Calibri" w:hAnsi="Calibri"/>
          <w:color w:val="2B2420"/>
          <w:sz w:val="19"/>
          <w:szCs w:val="19"/>
        </w:rPr>
        <w:t xml:space="preserve">Passagem aérea Brasil / Amã / Brasil</w:t>
      </w:r>
    </w:p>
    <w:p>
      <w:pPr>
        <w:pStyle w:val="ListParagraph"/>
        <w:numPr>
          <w:ilvl w:val="0"/>
          <w:numId w:val="3"/>
        </w:numPr>
        <w:spacing w:after="50" w:line="264"/>
      </w:pPr>
      <w:r>
        <w:rPr>
          <w:rFonts w:ascii="Calibri" w:cs="Calibri" w:eastAsia="Calibri" w:hAnsi="Calibri"/>
          <w:color w:val="2B2420"/>
          <w:sz w:val="19"/>
          <w:szCs w:val="19"/>
        </w:rPr>
        <w:t xml:space="preserve">Suplemento para traslados entre 23h e 6h: US$ 55 por pessoa</w:t>
      </w:r>
    </w:p>
    <w:p>
      <w:pPr>
        <w:pStyle w:val="ListParagraph"/>
        <w:numPr>
          <w:ilvl w:val="0"/>
          <w:numId w:val="3"/>
        </w:numPr>
        <w:spacing w:after="50" w:line="264"/>
      </w:pPr>
      <w:r>
        <w:rPr>
          <w:rFonts w:ascii="Calibri" w:cs="Calibri" w:eastAsia="Calibri" w:hAnsi="Calibri"/>
          <w:color w:val="2B2420"/>
          <w:sz w:val="19"/>
          <w:szCs w:val="19"/>
        </w:rPr>
        <w:t xml:space="preserve">Gorjeta obrigatória de US$ 25 por pessoa, paga ao guia na chegada</w:t>
      </w:r>
    </w:p>
    <w:p>
      <w:pPr>
        <w:pStyle w:val="ListParagraph"/>
        <w:numPr>
          <w:ilvl w:val="0"/>
          <w:numId w:val="3"/>
        </w:numPr>
        <w:spacing w:after="50" w:line="264"/>
      </w:pPr>
      <w:r>
        <w:rPr>
          <w:rFonts w:ascii="Calibri" w:cs="Calibri" w:eastAsia="Calibri" w:hAnsi="Calibri"/>
          <w:color w:val="2B2420"/>
          <w:sz w:val="19"/>
          <w:szCs w:val="19"/>
        </w:rPr>
        <w:t xml:space="preserve">Taxas de turismo de entrada e saída e taxas governamentais locais, cobradas no destino ou pelos hotéis</w:t>
      </w:r>
    </w:p>
    <w:p>
      <w:pPr>
        <w:pStyle w:val="ListParagraph"/>
        <w:numPr>
          <w:ilvl w:val="0"/>
          <w:numId w:val="3"/>
        </w:numPr>
        <w:spacing w:after="50" w:line="264"/>
      </w:pPr>
      <w:r>
        <w:rPr>
          <w:rFonts w:ascii="Calibri" w:cs="Calibri" w:eastAsia="Calibri" w:hAnsi="Calibri"/>
          <w:color w:val="2B2420"/>
          <w:sz w:val="19"/>
          <w:szCs w:val="19"/>
        </w:rPr>
        <w:t xml:space="preserve">Gorjetas a guias, motoristas e garçons</w:t>
      </w:r>
    </w:p>
    <w:p>
      <w:pPr>
        <w:pStyle w:val="ListParagraph"/>
        <w:numPr>
          <w:ilvl w:val="0"/>
          <w:numId w:val="3"/>
        </w:numPr>
        <w:spacing w:after="50" w:line="264"/>
      </w:pPr>
      <w:r>
        <w:rPr>
          <w:rFonts w:ascii="Calibri" w:cs="Calibri" w:eastAsia="Calibri" w:hAnsi="Calibri"/>
          <w:color w:val="2B2420"/>
          <w:sz w:val="19"/>
          <w:szCs w:val="19"/>
        </w:rPr>
        <w:t xml:space="preserve">Refeições e bebidas não mencionadas como incluídas</w:t>
      </w:r>
    </w:p>
    <w:p>
      <w:pPr>
        <w:pStyle w:val="ListParagraph"/>
        <w:numPr>
          <w:ilvl w:val="0"/>
          <w:numId w:val="3"/>
        </w:numPr>
        <w:spacing w:after="50" w:line="264"/>
      </w:pPr>
      <w:r>
        <w:rPr>
          <w:rFonts w:ascii="Calibri" w:cs="Calibri" w:eastAsia="Calibri" w:hAnsi="Calibri"/>
          <w:color w:val="2B2420"/>
          <w:sz w:val="19"/>
          <w:szCs w:val="19"/>
        </w:rPr>
        <w:t xml:space="preserve">Documentação pessoal (passaporte, vistos)</w:t>
      </w:r>
    </w:p>
    <w:p>
      <w:pPr>
        <w:pStyle w:val="ListParagraph"/>
        <w:numPr>
          <w:ilvl w:val="0"/>
          <w:numId w:val="3"/>
        </w:numPr>
        <w:spacing w:after="50" w:line="264"/>
      </w:pPr>
      <w:r>
        <w:rPr>
          <w:rFonts w:ascii="Calibri" w:cs="Calibri" w:eastAsia="Calibri" w:hAnsi="Calibri"/>
          <w:color w:val="2B2420"/>
          <w:sz w:val="19"/>
          <w:szCs w:val="19"/>
        </w:rPr>
        <w:t xml:space="preserve">Despesas pessoais (telefonemas, lavanderia, frigobar, maleteiros, excesso de bagagem)</w:t>
      </w:r>
    </w:p>
    <w:p>
      <w:pPr>
        <w:pStyle w:val="ListParagraph"/>
        <w:numPr>
          <w:ilvl w:val="0"/>
          <w:numId w:val="3"/>
        </w:numPr>
        <w:spacing w:after="50" w:line="264"/>
      </w:pPr>
      <w:r>
        <w:rPr>
          <w:rFonts w:ascii="Calibri" w:cs="Calibri" w:eastAsia="Calibri" w:hAnsi="Calibri"/>
          <w:color w:val="2B2420"/>
          <w:sz w:val="19"/>
          <w:szCs w:val="19"/>
        </w:rPr>
        <w:t xml:space="preserve">Qualquer item não mencionado como incluído</w:t>
      </w:r>
    </w:p>
    <w:p>
      <w:pPr>
        <w:keepNext/>
        <w:pBdr>
          <w:bottom w:val="single" w:color="C27A35" w:sz="8" w:space="4"/>
        </w:pBdr>
        <w:spacing w:after="120" w:before="300"/>
      </w:pPr>
      <w:r>
        <w:rPr>
          <w:rFonts w:ascii="Georgia" w:cs="Georgia" w:eastAsia="Georgia" w:hAnsi="Georgia"/>
          <w:b/>
          <w:bCs/>
          <w:color w:val="8A3B1C"/>
          <w:spacing w:val="20"/>
          <w:sz w:val="24"/>
          <w:szCs w:val="24"/>
        </w:rPr>
        <w:t xml:space="preserve">NOITES EXTRAS</w:t>
      </w:r>
    </w:p>
    <w:p>
      <w:pPr>
        <w:keepNext/>
        <w:spacing w:after="40" w:before="60"/>
      </w:pPr>
      <w:r>
        <w:rPr>
          <w:rFonts w:ascii="Calibri" w:cs="Calibri" w:eastAsia="Calibri" w:hAnsi="Calibri"/>
          <w:b/>
          <w:bCs/>
          <w:color w:val="8A3B1C"/>
          <w:sz w:val="21"/>
          <w:szCs w:val="21"/>
        </w:rPr>
        <w:t xml:space="preserve">Noites extras em Amã</w:t>
      </w:r>
    </w:p>
    <w:p>
      <w:pPr>
        <w:keepNext/>
        <w:spacing w:after="80"/>
      </w:pPr>
      <w:r>
        <w:rPr>
          <w:rFonts w:ascii="Calibri" w:cs="Calibri" w:eastAsia="Calibri" w:hAnsi="Calibri"/>
          <w:i/>
          <w:iCs/>
          <w:color w:val="6E625A"/>
          <w:sz w:val="18"/>
          <w:szCs w:val="18"/>
        </w:rPr>
        <w:t xml:space="preserve">Por pessoa, por noite, com meia pensão e traslados incluídos. Válido até dezembro de 2027, exceto Natal e Réveillon.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238"/>
        <w:gridCol w:w="2133"/>
        <w:gridCol w:w="2133"/>
        <w:gridCol w:w="2134"/>
      </w:tblGrid>
      <w:tr>
        <w:trPr>
          <w:tblHeader/>
        </w:trPr>
        <w:tc>
          <w:tcPr>
            <w:tcW w:type="dxa" w:w="3238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shd w:fill="8A3B1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Categoria</w:t>
            </w:r>
          </w:p>
        </w:tc>
        <w:tc>
          <w:tcPr>
            <w:tcW w:type="dxa" w:w="2133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shd w:fill="8A3B1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Individual</w:t>
            </w:r>
          </w:p>
        </w:tc>
        <w:tc>
          <w:tcPr>
            <w:tcW w:type="dxa" w:w="2133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shd w:fill="8A3B1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Duplo</w:t>
            </w:r>
          </w:p>
        </w:tc>
        <w:tc>
          <w:tcPr>
            <w:tcW w:type="dxa" w:w="2134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shd w:fill="8A3B1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Triplo</w:t>
            </w:r>
          </w:p>
        </w:tc>
      </w:tr>
      <w:tr>
        <w:trPr>
          <w:cantSplit/>
        </w:trPr>
        <w:tc>
          <w:tcPr>
            <w:tcW w:type="dxa" w:w="3238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B2420"/>
                <w:sz w:val="19"/>
                <w:szCs w:val="19"/>
              </w:rPr>
              <w:t xml:space="preserve">Primeira</w:t>
            </w:r>
          </w:p>
        </w:tc>
        <w:tc>
          <w:tcPr>
            <w:tcW w:type="dxa" w:w="2133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B2420"/>
                <w:sz w:val="19"/>
                <w:szCs w:val="19"/>
              </w:rPr>
              <w:t xml:space="preserve">US$ 185</w:t>
            </w:r>
          </w:p>
        </w:tc>
        <w:tc>
          <w:tcPr>
            <w:tcW w:type="dxa" w:w="2133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B2420"/>
                <w:sz w:val="19"/>
                <w:szCs w:val="19"/>
              </w:rPr>
              <w:t xml:space="preserve">US$ 115</w:t>
            </w:r>
          </w:p>
        </w:tc>
        <w:tc>
          <w:tcPr>
            <w:tcW w:type="dxa" w:w="2134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B2420"/>
                <w:sz w:val="19"/>
                <w:szCs w:val="19"/>
              </w:rPr>
              <w:t xml:space="preserve">US$ 115</w:t>
            </w:r>
          </w:p>
        </w:tc>
      </w:tr>
      <w:tr>
        <w:trPr>
          <w:cantSplit/>
        </w:trPr>
        <w:tc>
          <w:tcPr>
            <w:tcW w:type="dxa" w:w="3238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B2420"/>
                <w:sz w:val="19"/>
                <w:szCs w:val="19"/>
              </w:rPr>
              <w:t xml:space="preserve">Superior</w:t>
            </w:r>
          </w:p>
        </w:tc>
        <w:tc>
          <w:tcPr>
            <w:tcW w:type="dxa" w:w="2133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B2420"/>
                <w:sz w:val="19"/>
                <w:szCs w:val="19"/>
              </w:rPr>
              <w:t xml:space="preserve">US$ 258</w:t>
            </w:r>
          </w:p>
        </w:tc>
        <w:tc>
          <w:tcPr>
            <w:tcW w:type="dxa" w:w="2133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B2420"/>
                <w:sz w:val="19"/>
                <w:szCs w:val="19"/>
              </w:rPr>
              <w:t xml:space="preserve">US$ 150</w:t>
            </w:r>
          </w:p>
        </w:tc>
        <w:tc>
          <w:tcPr>
            <w:tcW w:type="dxa" w:w="2134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B2420"/>
                <w:sz w:val="19"/>
                <w:szCs w:val="19"/>
              </w:rPr>
              <w:t xml:space="preserve">US$ 150</w:t>
            </w:r>
          </w:p>
        </w:tc>
      </w:tr>
    </w:tbl>
    <w:p>
      <w:pPr>
        <w:keepNext/>
        <w:pBdr>
          <w:bottom w:val="single" w:color="C27A35" w:sz="8" w:space="4"/>
        </w:pBdr>
        <w:spacing w:after="120" w:before="300"/>
      </w:pPr>
      <w:r>
        <w:rPr>
          <w:rFonts w:ascii="Georgia" w:cs="Georgia" w:eastAsia="Georgia" w:hAnsi="Georgia"/>
          <w:b/>
          <w:bCs/>
          <w:color w:val="8A3B1C"/>
          <w:spacing w:val="20"/>
          <w:sz w:val="24"/>
          <w:szCs w:val="24"/>
        </w:rPr>
        <w:t xml:space="preserve">INFORMAÇÕES IMPORTANTES</w:t>
      </w:r>
    </w:p>
    <w:p>
      <w:pPr>
        <w:pStyle w:val="ListParagraph"/>
        <w:numPr>
          <w:ilvl w:val="0"/>
          <w:numId w:val="4"/>
        </w:numPr>
        <w:spacing w:after="50" w:line="264"/>
      </w:pPr>
      <w:r>
        <w:rPr>
          <w:rFonts w:ascii="Calibri" w:cs="Calibri" w:eastAsia="Calibri" w:hAnsi="Calibri"/>
          <w:color w:val="2B2420"/>
          <w:sz w:val="19"/>
          <w:szCs w:val="19"/>
        </w:rPr>
        <w:t xml:space="preserve">Check-in a partir das 16h e check-out às 12h.</w:t>
      </w:r>
    </w:p>
    <w:p>
      <w:pPr>
        <w:pStyle w:val="ListParagraph"/>
        <w:numPr>
          <w:ilvl w:val="0"/>
          <w:numId w:val="4"/>
        </w:numPr>
        <w:spacing w:after="50" w:line="264"/>
      </w:pPr>
      <w:r>
        <w:rPr>
          <w:rFonts w:ascii="Calibri" w:cs="Calibri" w:eastAsia="Calibri" w:hAnsi="Calibri"/>
          <w:color w:val="2B2420"/>
          <w:sz w:val="19"/>
          <w:szCs w:val="19"/>
        </w:rPr>
        <w:t xml:space="preserve">Passaporte com validade mínima de 6 meses a partir da data de embarque e duas páginas em branco lado a lado.</w:t>
      </w:r>
    </w:p>
    <w:p>
      <w:pPr>
        <w:pStyle w:val="ListParagraph"/>
        <w:numPr>
          <w:ilvl w:val="0"/>
          <w:numId w:val="4"/>
        </w:numPr>
        <w:spacing w:after="50" w:line="264"/>
      </w:pPr>
      <w:r>
        <w:rPr>
          <w:rFonts w:ascii="Calibri" w:cs="Calibri" w:eastAsia="Calibri" w:hAnsi="Calibri"/>
          <w:color w:val="2B2420"/>
          <w:sz w:val="19"/>
          <w:szCs w:val="19"/>
        </w:rPr>
        <w:t xml:space="preserve">Visto da Jordânia emitido na chegada (Aeroporto de Amã ou Ponte Sheikh Hussein), com taxa aproximada de US$ 60 por pessoa, sujeita a reajuste. Para entrada pela Ponte Allenby ou outro ponto, o visto deve ser emitido previamente no país de origem.</w:t>
      </w:r>
    </w:p>
    <w:p>
      <w:pPr>
        <w:pStyle w:val="ListParagraph"/>
        <w:numPr>
          <w:ilvl w:val="0"/>
          <w:numId w:val="4"/>
        </w:numPr>
        <w:spacing w:after="50" w:line="264"/>
      </w:pPr>
      <w:r>
        <w:rPr>
          <w:rFonts w:ascii="Calibri" w:cs="Calibri" w:eastAsia="Calibri" w:hAnsi="Calibri"/>
          <w:color w:val="2B2420"/>
          <w:sz w:val="19"/>
          <w:szCs w:val="19"/>
        </w:rPr>
        <w:t xml:space="preserve">Entradas ou saídas por fronteira terrestre: taxa local aproximada de US$ 15 por pessoa.</w:t>
      </w:r>
    </w:p>
    <w:p>
      <w:pPr>
        <w:pStyle w:val="ListParagraph"/>
        <w:numPr>
          <w:ilvl w:val="0"/>
          <w:numId w:val="4"/>
        </w:numPr>
        <w:spacing w:after="50" w:line="264"/>
      </w:pPr>
      <w:r>
        <w:rPr>
          <w:rFonts w:ascii="Calibri" w:cs="Calibri" w:eastAsia="Calibri" w:hAnsi="Calibri"/>
          <w:color w:val="2B2420"/>
          <w:sz w:val="19"/>
          <w:szCs w:val="19"/>
        </w:rPr>
        <w:t xml:space="preserve">Preços válidos para no mínimo 2 pessoas viajando juntas. Tarifas não válidas em períodos de eventos, feiras, congressos, feriados ou para grupos, e sujeitas a alteração sem aviso prévio.</w:t>
      </w:r>
    </w:p>
    <w:p>
      <w:pPr>
        <w:pStyle w:val="ListParagraph"/>
        <w:numPr>
          <w:ilvl w:val="0"/>
          <w:numId w:val="4"/>
        </w:numPr>
        <w:spacing w:after="50" w:line="264"/>
      </w:pPr>
      <w:r>
        <w:rPr>
          <w:rFonts w:ascii="Calibri" w:cs="Calibri" w:eastAsia="Calibri" w:hAnsi="Calibri"/>
          <w:color w:val="2B2420"/>
          <w:sz w:val="19"/>
          <w:szCs w:val="19"/>
        </w:rPr>
        <w:t xml:space="preserve">Em apartamento triplo, a terceira pessoa é acomodada em cama de armar ou sofá-cama.</w:t>
      </w:r>
    </w:p>
    <w:p>
      <w:pPr>
        <w:pStyle w:val="ListParagraph"/>
        <w:numPr>
          <w:ilvl w:val="0"/>
          <w:numId w:val="4"/>
        </w:numPr>
        <w:spacing w:after="50" w:line="264"/>
      </w:pPr>
      <w:r>
        <w:rPr>
          <w:rFonts w:ascii="Calibri" w:cs="Calibri" w:eastAsia="Calibri" w:hAnsi="Calibri"/>
          <w:color w:val="2B2420"/>
          <w:sz w:val="19"/>
          <w:szCs w:val="19"/>
        </w:rPr>
        <w:t xml:space="preserve">Noites extras exigem traslado extra de chegada e/ou saída, com valores informados na confirmação da reserva.</w:t>
      </w:r>
    </w:p>
    <w:p>
      <w:pPr>
        <w:pStyle w:val="ListParagraph"/>
        <w:numPr>
          <w:ilvl w:val="0"/>
          <w:numId w:val="4"/>
        </w:numPr>
        <w:spacing w:after="50" w:line="264"/>
      </w:pPr>
      <w:r>
        <w:rPr>
          <w:rFonts w:ascii="Calibri" w:cs="Calibri" w:eastAsia="Calibri" w:hAnsi="Calibri"/>
          <w:color w:val="2B2420"/>
          <w:sz w:val="19"/>
          <w:szCs w:val="19"/>
        </w:rPr>
        <w:t xml:space="preserve">Ceia de Réveillon: suplemento obrigatório, com valor informado na confirmação da reserva.</w:t>
      </w:r>
    </w:p>
    <w:p>
      <w:pPr>
        <w:pStyle w:val="ListParagraph"/>
        <w:numPr>
          <w:ilvl w:val="0"/>
          <w:numId w:val="4"/>
        </w:numPr>
        <w:spacing w:after="50" w:line="264"/>
      </w:pPr>
      <w:r>
        <w:rPr>
          <w:rFonts w:ascii="Calibri" w:cs="Calibri" w:eastAsia="Calibri" w:hAnsi="Calibri"/>
          <w:color w:val="2B2420"/>
          <w:sz w:val="19"/>
          <w:szCs w:val="19"/>
        </w:rPr>
        <w:t xml:space="preserve">Menores de 18 anos devem apresentar documento de identificação e viajar com os pais ou responsável legal, ou com autorização do Juizado da Infância e Juventude (ECA, Lei nº 8.069/90).</w:t>
      </w:r>
    </w:p>
    <w:p>
      <w:pPr>
        <w:spacing w:after="60" w:before="120" w:line="264"/>
      </w:pPr>
      <w:r>
        <w:rPr>
          <w:rFonts w:ascii="Calibri" w:cs="Calibri" w:eastAsia="Calibri" w:hAnsi="Calibri"/>
          <w:i/>
          <w:iCs/>
          <w:color w:val="6E625A"/>
          <w:sz w:val="19"/>
          <w:szCs w:val="19"/>
        </w:rPr>
        <w:t xml:space="preserve">Viagens durante o Ramadã: durante o dia não é permitido comer, beber ou fumar em locais públicos e recomenda-se vestuário mais conservador fora dos hotéis (calças compridas, sem roupas de banho ou sem mangas em público). O comércio funciona em horário reduzido e alguns passeios podem sofrer ajustes — por exemplo, o safári 4x4 no deserto sem show de dança do ventre. A venda de bebidas alcoólicas é restrita a locais autorizados, como alguns hotéis.</w:t>
      </w:r>
    </w:p>
    <w:p>
      <w:pPr>
        <w:pBdr>
          <w:top w:val="single" w:color="F7EDE2" w:sz="4" w:space="6"/>
          <w:bottom w:val="single" w:color="F7EDE2" w:sz="4" w:space="6"/>
        </w:pBdr>
        <w:shd w:fill="F7EDE2" w:color="auto" w:val="clear"/>
        <w:spacing w:after="0" w:before="240"/>
        <w:jc w:val="center"/>
      </w:pPr>
      <w:r>
        <w:rPr>
          <w:rFonts w:ascii="Calibri" w:cs="Calibri" w:eastAsia="Calibri" w:hAnsi="Calibri"/>
          <w:b/>
          <w:bCs/>
          <w:color w:val="8A3B1C"/>
          <w:sz w:val="19"/>
          <w:szCs w:val="19"/>
        </w:rPr>
        <w:t xml:space="preserve">Valores sob consulta, conforme a data de saída, a categoria de hospedagem e o tipo de apartamento.</w:t>
      </w:r>
    </w:p>
    <w:sectPr>
      <w:headerReference w:type="default" r:id="rId6"/>
      <w:footerReference w:type="default" r:id="rId7"/>
      <w:pgSz w:w="11906" w:h="16838" w:orient="portrait"/>
      <w:pgMar w:top="1134" w:right="1134" w:bottom="1000" w:left="1134" w:header="500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Calibri" w:cs="Calibri" w:eastAsia="Calibri" w:hAnsi="Calibri"/>
        <w:color w:val="6E625A"/>
        <w:sz w:val="16"/>
        <w:szCs w:val="16"/>
      </w:rPr>
      <w:t xml:space="preserve">Jordânia: Romanos e Nabateus   ·   </w:t>
    </w:r>
    <w:r>
      <w:rPr>
        <w:rFonts w:ascii="Calibri" w:cs="Calibri" w:eastAsia="Calibri" w:hAnsi="Calibri"/>
        <w:color w:val="6E625A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  <w:rPr>
        <w:rFonts w:ascii="Calibri" w:cs="Calibri" w:eastAsia="Calibri" w:hAnsi="Calibri"/>
        <w:color w:val="C27A35"/>
      </w:r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–"/>
      <w:lvlJc w:val="left"/>
      <w:pPr>
        <w:ind w:left="360" w:hanging="240"/>
      </w:pPr>
      <w:rPr>
        <w:rFonts w:ascii="Calibri" w:cs="Calibri" w:eastAsia="Calibri" w:hAnsi="Calibri"/>
        <w:color w:val="C27A35"/>
      </w:rPr>
    </w:lvl>
  </w:abstractNum>
  <w:abstractNum w:abstractNumId="4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  <w:rPr>
        <w:rFonts w:ascii="Calibri" w:cs="Calibri" w:eastAsia="Calibri" w:hAnsi="Calibri"/>
        <w:color w:val="C27A35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4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B2420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image" Target="media/884de93509aa3af2297c4956c2a9db7391b99638.jp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Jordânia: Romanos e Nabateus</dc:title>
  <dc:creator>Roteiros</dc:creator>
  <cp:lastModifiedBy>Un-named</cp:lastModifiedBy>
  <cp:revision>1</cp:revision>
  <dcterms:created xsi:type="dcterms:W3CDTF">2026-10-22T13:13:23.830Z</dcterms:created>
  <dcterms:modified xsi:type="dcterms:W3CDTF">2026-10-22T13:13:23.835Z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